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B83805" w14:textId="0A6FC69B" w:rsidR="00AE183B" w:rsidRPr="00AE183B" w:rsidRDefault="00206137" w:rsidP="00206137">
      <w:pPr>
        <w:spacing w:line="360" w:lineRule="auto"/>
        <w:rPr>
          <w:rFonts w:ascii="黑体" w:eastAsia="黑体" w:hAnsi="黑体" w:hint="eastAsia"/>
          <w:b/>
          <w:bCs/>
          <w:sz w:val="32"/>
          <w:szCs w:val="32"/>
        </w:rPr>
      </w:pPr>
      <w:r>
        <w:rPr>
          <w:rFonts w:ascii="黑体" w:eastAsia="黑体" w:hAnsi="黑体" w:hint="eastAsia"/>
          <w:b/>
          <w:bCs/>
          <w:sz w:val="32"/>
          <w:szCs w:val="32"/>
        </w:rPr>
        <w:t>读书笔记</w:t>
      </w:r>
      <w:r w:rsidR="00AE183B">
        <w:rPr>
          <w:rFonts w:ascii="黑体" w:eastAsia="黑体" w:hAnsi="黑体" w:hint="eastAsia"/>
          <w:b/>
          <w:bCs/>
          <w:sz w:val="32"/>
          <w:szCs w:val="32"/>
        </w:rPr>
        <w:t>（</w:t>
      </w:r>
      <w:r w:rsidR="00AE183B" w:rsidRPr="00AE183B">
        <w:rPr>
          <w:rFonts w:ascii="黑体" w:eastAsia="黑体" w:hAnsi="黑体" w:hint="eastAsia"/>
          <w:b/>
          <w:bCs/>
          <w:sz w:val="32"/>
          <w:szCs w:val="32"/>
        </w:rPr>
        <w:t>一</w:t>
      </w:r>
      <w:r w:rsidR="00AE183B">
        <w:rPr>
          <w:rFonts w:ascii="黑体" w:eastAsia="黑体" w:hAnsi="黑体" w:hint="eastAsia"/>
          <w:b/>
          <w:bCs/>
          <w:sz w:val="32"/>
          <w:szCs w:val="32"/>
        </w:rPr>
        <w:t>）</w:t>
      </w:r>
    </w:p>
    <w:p w14:paraId="4FAD9DFF" w14:textId="381C3208" w:rsidR="00845113" w:rsidRDefault="00845113" w:rsidP="00954BA7">
      <w:pPr>
        <w:spacing w:line="360" w:lineRule="auto"/>
        <w:jc w:val="center"/>
        <w:rPr>
          <w:rFonts w:ascii="宋体" w:eastAsia="宋体" w:hAnsi="宋体"/>
          <w:b/>
          <w:bCs/>
          <w:sz w:val="28"/>
          <w:szCs w:val="28"/>
        </w:rPr>
      </w:pPr>
      <w:r>
        <w:rPr>
          <w:rFonts w:ascii="宋体" w:eastAsia="宋体" w:hAnsi="宋体" w:hint="eastAsia"/>
          <w:b/>
          <w:bCs/>
          <w:sz w:val="28"/>
          <w:szCs w:val="28"/>
        </w:rPr>
        <w:t>对比</w:t>
      </w:r>
      <w:r w:rsidRPr="00845113">
        <w:rPr>
          <w:rFonts w:ascii="宋体" w:eastAsia="宋体" w:hAnsi="宋体" w:hint="eastAsia"/>
          <w:b/>
          <w:bCs/>
          <w:sz w:val="28"/>
          <w:szCs w:val="28"/>
        </w:rPr>
        <w:t>分析格兰仕公司</w:t>
      </w:r>
      <w:r>
        <w:rPr>
          <w:rFonts w:ascii="宋体" w:eastAsia="宋体" w:hAnsi="宋体" w:hint="eastAsia"/>
          <w:b/>
          <w:bCs/>
          <w:sz w:val="28"/>
          <w:szCs w:val="28"/>
        </w:rPr>
        <w:t>与农业上市公司</w:t>
      </w:r>
      <w:r w:rsidRPr="00845113">
        <w:rPr>
          <w:rFonts w:ascii="宋体" w:eastAsia="宋体" w:hAnsi="宋体" w:hint="eastAsia"/>
          <w:b/>
          <w:bCs/>
          <w:sz w:val="28"/>
          <w:szCs w:val="28"/>
        </w:rPr>
        <w:t>的供应链战略匹配问题</w:t>
      </w:r>
    </w:p>
    <w:p w14:paraId="40CE9D17" w14:textId="77777777" w:rsidR="00954BA7" w:rsidRPr="00954BA7" w:rsidRDefault="00954BA7" w:rsidP="00954BA7">
      <w:pPr>
        <w:spacing w:line="360" w:lineRule="auto"/>
        <w:jc w:val="center"/>
        <w:rPr>
          <w:rFonts w:ascii="宋体" w:eastAsia="宋体" w:hAnsi="宋体"/>
          <w:b/>
          <w:bCs/>
          <w:sz w:val="15"/>
          <w:szCs w:val="15"/>
        </w:rPr>
      </w:pPr>
    </w:p>
    <w:p w14:paraId="66CFEBBD" w14:textId="5AD01193" w:rsidR="00085766" w:rsidRDefault="00845113" w:rsidP="00085766">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格兰仕公司是一家世界级品牌家电制造企业，</w:t>
      </w:r>
      <w:r w:rsidR="00085766">
        <w:rPr>
          <w:rFonts w:ascii="宋体" w:eastAsia="宋体" w:hAnsi="宋体" w:hint="eastAsia"/>
          <w:sz w:val="24"/>
          <w:szCs w:val="24"/>
        </w:rPr>
        <w:t>自1978年9月28日创业以来，格兰仕一直专注在制造业创新发展，从一台微波炉开始书写家电传说，由微波炉龙头企业发展为综合性、领先性跨国家电科技集团。</w:t>
      </w:r>
    </w:p>
    <w:p w14:paraId="732DAD7E" w14:textId="64D3DBBF" w:rsidR="00845113" w:rsidRDefault="00085766" w:rsidP="00954BA7">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制造是格兰仕最重要的</w:t>
      </w:r>
      <w:r>
        <w:rPr>
          <w:rFonts w:ascii="宋体" w:eastAsia="宋体" w:hAnsi="宋体"/>
          <w:sz w:val="24"/>
          <w:szCs w:val="24"/>
        </w:rPr>
        <w:t>DNA</w:t>
      </w:r>
      <w:r>
        <w:rPr>
          <w:rFonts w:ascii="宋体" w:eastAsia="宋体" w:hAnsi="宋体" w:hint="eastAsia"/>
          <w:sz w:val="24"/>
          <w:szCs w:val="24"/>
        </w:rPr>
        <w:t>，但不是全部。“科技格兰仕”依托全球领先的家电全产业链智能制造优势，稳健推进</w:t>
      </w:r>
      <w:proofErr w:type="spellStart"/>
      <w:r>
        <w:rPr>
          <w:rFonts w:ascii="宋体" w:eastAsia="宋体" w:hAnsi="宋体" w:hint="eastAsia"/>
          <w:sz w:val="24"/>
          <w:szCs w:val="24"/>
        </w:rPr>
        <w:t>Galanz</w:t>
      </w:r>
      <w:proofErr w:type="spellEnd"/>
      <w:r>
        <w:rPr>
          <w:rFonts w:ascii="宋体" w:eastAsia="宋体" w:hAnsi="宋体" w:hint="eastAsia"/>
          <w:sz w:val="24"/>
          <w:szCs w:val="24"/>
        </w:rPr>
        <w:t>+智慧家居生态体系建设和</w:t>
      </w:r>
      <w:r>
        <w:rPr>
          <w:rFonts w:ascii="宋体" w:eastAsia="宋体" w:hAnsi="宋体"/>
          <w:sz w:val="24"/>
          <w:szCs w:val="24"/>
        </w:rPr>
        <w:t>a lot</w:t>
      </w:r>
      <w:r>
        <w:rPr>
          <w:rFonts w:ascii="宋体" w:eastAsia="宋体" w:hAnsi="宋体" w:hint="eastAsia"/>
          <w:sz w:val="24"/>
          <w:szCs w:val="24"/>
        </w:rPr>
        <w:t>科技产业化，致力于打造健康可持续的生活方式。</w:t>
      </w:r>
      <w:r w:rsidR="00845113">
        <w:rPr>
          <w:rFonts w:ascii="宋体" w:eastAsia="宋体" w:hAnsi="宋体" w:hint="eastAsia"/>
          <w:sz w:val="24"/>
          <w:szCs w:val="24"/>
        </w:rPr>
        <w:t>目前</w:t>
      </w:r>
      <w:r>
        <w:rPr>
          <w:rFonts w:ascii="宋体" w:eastAsia="宋体" w:hAnsi="宋体" w:hint="eastAsia"/>
          <w:sz w:val="24"/>
          <w:szCs w:val="24"/>
        </w:rPr>
        <w:t>格兰仕仍</w:t>
      </w:r>
      <w:r w:rsidR="00845113">
        <w:rPr>
          <w:rFonts w:ascii="宋体" w:eastAsia="宋体" w:hAnsi="宋体" w:hint="eastAsia"/>
          <w:sz w:val="24"/>
          <w:szCs w:val="24"/>
        </w:rPr>
        <w:t>主要以微波炉生产作为其核心发展产业，微波炉这一产品的市场需求比较稳定，</w:t>
      </w:r>
      <w:r w:rsidR="00D81D27">
        <w:rPr>
          <w:rFonts w:ascii="宋体" w:eastAsia="宋体" w:hAnsi="宋体" w:hint="eastAsia"/>
          <w:sz w:val="24"/>
          <w:szCs w:val="24"/>
        </w:rPr>
        <w:t>需求</w:t>
      </w:r>
      <w:r w:rsidR="00845113">
        <w:rPr>
          <w:rFonts w:ascii="宋体" w:eastAsia="宋体" w:hAnsi="宋体" w:hint="eastAsia"/>
          <w:sz w:val="24"/>
          <w:szCs w:val="24"/>
        </w:rPr>
        <w:t>可以预测，</w:t>
      </w:r>
      <w:r w:rsidR="00D81D27">
        <w:rPr>
          <w:rFonts w:ascii="宋体" w:eastAsia="宋体" w:hAnsi="宋体" w:hint="eastAsia"/>
          <w:sz w:val="24"/>
          <w:szCs w:val="24"/>
        </w:rPr>
        <w:t>并且</w:t>
      </w:r>
      <w:r w:rsidR="00845113">
        <w:rPr>
          <w:rFonts w:ascii="宋体" w:eastAsia="宋体" w:hAnsi="宋体" w:hint="eastAsia"/>
          <w:sz w:val="24"/>
          <w:szCs w:val="24"/>
        </w:rPr>
        <w:t>该产品的种类变化程度较低，产品生命周期比较长，因此，</w:t>
      </w:r>
      <w:r w:rsidR="00845113" w:rsidRPr="00CC634F">
        <w:rPr>
          <w:rFonts w:ascii="宋体" w:eastAsia="宋体" w:hAnsi="宋体" w:hint="eastAsia"/>
          <w:b/>
          <w:bCs/>
          <w:sz w:val="24"/>
          <w:szCs w:val="24"/>
        </w:rPr>
        <w:t>格兰仕公司的供应链战略匹配</w:t>
      </w:r>
      <w:r w:rsidR="00845113">
        <w:rPr>
          <w:rFonts w:ascii="宋体" w:eastAsia="宋体" w:hAnsi="宋体" w:hint="eastAsia"/>
          <w:sz w:val="24"/>
          <w:szCs w:val="24"/>
        </w:rPr>
        <w:t>主要是：</w:t>
      </w:r>
    </w:p>
    <w:p w14:paraId="41E6CAD4" w14:textId="598F73CD" w:rsidR="00845113" w:rsidRDefault="00845113" w:rsidP="00845113">
      <w:pPr>
        <w:pStyle w:val="a3"/>
        <w:numPr>
          <w:ilvl w:val="0"/>
          <w:numId w:val="1"/>
        </w:numPr>
        <w:spacing w:line="360" w:lineRule="auto"/>
        <w:ind w:firstLineChars="0"/>
        <w:jc w:val="left"/>
        <w:rPr>
          <w:rFonts w:ascii="宋体" w:eastAsia="宋体" w:hAnsi="宋体"/>
          <w:sz w:val="24"/>
          <w:szCs w:val="24"/>
        </w:rPr>
      </w:pPr>
      <w:r w:rsidRPr="00845113">
        <w:rPr>
          <w:rFonts w:ascii="宋体" w:eastAsia="宋体" w:hAnsi="宋体" w:hint="eastAsia"/>
          <w:sz w:val="24"/>
          <w:szCs w:val="24"/>
        </w:rPr>
        <w:t>建立一套集中的竞争战略与有效性的供应链战略</w:t>
      </w:r>
    </w:p>
    <w:p w14:paraId="2161FF89" w14:textId="1CE31C2B" w:rsidR="00845113" w:rsidRPr="009D21E5" w:rsidRDefault="009D21E5" w:rsidP="009D21E5">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成本最小化是企业有效竞争</w:t>
      </w:r>
      <w:r w:rsidR="0051109A">
        <w:rPr>
          <w:rFonts w:ascii="宋体" w:eastAsia="宋体" w:hAnsi="宋体" w:hint="eastAsia"/>
          <w:sz w:val="24"/>
          <w:szCs w:val="24"/>
        </w:rPr>
        <w:t>的基础</w:t>
      </w:r>
      <w:r w:rsidR="00C60242">
        <w:rPr>
          <w:rFonts w:ascii="宋体" w:eastAsia="宋体" w:hAnsi="宋体" w:hint="eastAsia"/>
          <w:sz w:val="24"/>
          <w:szCs w:val="24"/>
        </w:rPr>
        <w:t>及获得利润</w:t>
      </w:r>
      <w:r>
        <w:rPr>
          <w:rFonts w:ascii="宋体" w:eastAsia="宋体" w:hAnsi="宋体" w:hint="eastAsia"/>
          <w:sz w:val="24"/>
          <w:szCs w:val="24"/>
        </w:rPr>
        <w:t>的核心之处。集中</w:t>
      </w:r>
      <w:r w:rsidR="0051109A">
        <w:rPr>
          <w:rFonts w:ascii="宋体" w:eastAsia="宋体" w:hAnsi="宋体" w:hint="eastAsia"/>
          <w:sz w:val="24"/>
          <w:szCs w:val="24"/>
        </w:rPr>
        <w:t>性</w:t>
      </w:r>
      <w:r>
        <w:rPr>
          <w:rFonts w:ascii="宋体" w:eastAsia="宋体" w:hAnsi="宋体" w:hint="eastAsia"/>
          <w:sz w:val="24"/>
          <w:szCs w:val="24"/>
        </w:rPr>
        <w:t>竞争战略对供应链的反应能力要求较低，能够在市场竞争中迅速占领市场，格兰仕公司</w:t>
      </w:r>
      <w:r w:rsidR="00D81D27">
        <w:rPr>
          <w:rFonts w:ascii="宋体" w:eastAsia="宋体" w:hAnsi="宋体" w:hint="eastAsia"/>
          <w:sz w:val="24"/>
          <w:szCs w:val="24"/>
        </w:rPr>
        <w:t>把生产</w:t>
      </w:r>
      <w:r>
        <w:rPr>
          <w:rFonts w:ascii="宋体" w:eastAsia="宋体" w:hAnsi="宋体" w:hint="eastAsia"/>
          <w:sz w:val="24"/>
          <w:szCs w:val="24"/>
        </w:rPr>
        <w:t>中心投入到微波炉生产上，通过专业化、集中化的生产</w:t>
      </w:r>
      <w:r w:rsidR="00D81D27">
        <w:rPr>
          <w:rFonts w:ascii="宋体" w:eastAsia="宋体" w:hAnsi="宋体" w:hint="eastAsia"/>
          <w:sz w:val="24"/>
          <w:szCs w:val="24"/>
        </w:rPr>
        <w:t>方式</w:t>
      </w:r>
      <w:r>
        <w:rPr>
          <w:rFonts w:ascii="宋体" w:eastAsia="宋体" w:hAnsi="宋体" w:hint="eastAsia"/>
          <w:sz w:val="24"/>
          <w:szCs w:val="24"/>
        </w:rPr>
        <w:t>为客户提供优质的产品，</w:t>
      </w:r>
      <w:r w:rsidR="00CD6D41">
        <w:rPr>
          <w:rFonts w:ascii="宋体" w:eastAsia="宋体" w:hAnsi="宋体" w:hint="eastAsia"/>
          <w:sz w:val="24"/>
          <w:szCs w:val="24"/>
        </w:rPr>
        <w:t>使其</w:t>
      </w:r>
      <w:r w:rsidR="00D81D27">
        <w:rPr>
          <w:rFonts w:ascii="宋体" w:eastAsia="宋体" w:hAnsi="宋体" w:hint="eastAsia"/>
          <w:sz w:val="24"/>
          <w:szCs w:val="24"/>
        </w:rPr>
        <w:t>自身</w:t>
      </w:r>
      <w:r w:rsidR="00CD6D41">
        <w:rPr>
          <w:rFonts w:ascii="宋体" w:eastAsia="宋体" w:hAnsi="宋体" w:hint="eastAsia"/>
          <w:sz w:val="24"/>
          <w:szCs w:val="24"/>
        </w:rPr>
        <w:t>在市场中迅速站稳脚跟。到2006年，格兰仕接连12年夺得中国微波炉市场销</w:t>
      </w:r>
      <w:r w:rsidR="000D1F1F">
        <w:rPr>
          <w:rFonts w:ascii="宋体" w:eastAsia="宋体" w:hAnsi="宋体" w:hint="eastAsia"/>
          <w:sz w:val="24"/>
          <w:szCs w:val="24"/>
        </w:rPr>
        <w:t>量</w:t>
      </w:r>
      <w:r w:rsidR="00CD6D41">
        <w:rPr>
          <w:rFonts w:ascii="宋体" w:eastAsia="宋体" w:hAnsi="宋体" w:hint="eastAsia"/>
          <w:sz w:val="24"/>
          <w:szCs w:val="24"/>
        </w:rPr>
        <w:t>和市场占有率第一名，接连9年夺得出口</w:t>
      </w:r>
      <w:r w:rsidR="0021702F">
        <w:rPr>
          <w:rFonts w:ascii="宋体" w:eastAsia="宋体" w:hAnsi="宋体" w:hint="eastAsia"/>
          <w:sz w:val="24"/>
          <w:szCs w:val="24"/>
        </w:rPr>
        <w:t>量</w:t>
      </w:r>
      <w:r w:rsidR="00CD6D41">
        <w:rPr>
          <w:rFonts w:ascii="宋体" w:eastAsia="宋体" w:hAnsi="宋体" w:hint="eastAsia"/>
          <w:sz w:val="24"/>
          <w:szCs w:val="24"/>
        </w:rPr>
        <w:t>冠军。</w:t>
      </w:r>
    </w:p>
    <w:p w14:paraId="05A65820" w14:textId="758CD847" w:rsidR="00845113" w:rsidRDefault="00CD6D41" w:rsidP="00845113">
      <w:pPr>
        <w:pStyle w:val="a3"/>
        <w:numPr>
          <w:ilvl w:val="0"/>
          <w:numId w:val="1"/>
        </w:numPr>
        <w:spacing w:line="360" w:lineRule="auto"/>
        <w:ind w:firstLineChars="0"/>
        <w:jc w:val="left"/>
        <w:rPr>
          <w:rFonts w:ascii="宋体" w:eastAsia="宋体" w:hAnsi="宋体"/>
          <w:sz w:val="24"/>
          <w:szCs w:val="24"/>
        </w:rPr>
      </w:pPr>
      <w:r>
        <w:rPr>
          <w:rFonts w:ascii="宋体" w:eastAsia="宋体" w:hAnsi="宋体" w:hint="eastAsia"/>
          <w:sz w:val="24"/>
          <w:szCs w:val="24"/>
        </w:rPr>
        <w:t>采取总成本领先的竞争战略</w:t>
      </w:r>
    </w:p>
    <w:p w14:paraId="63C3DA7C" w14:textId="3AB3BC5B" w:rsidR="00CD6D41" w:rsidRDefault="00CD6D41" w:rsidP="00486EA2">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面对市场激烈的竞争，格兰仕</w:t>
      </w:r>
      <w:r w:rsidR="002D0559">
        <w:rPr>
          <w:rFonts w:ascii="宋体" w:eastAsia="宋体" w:hAnsi="宋体" w:hint="eastAsia"/>
          <w:sz w:val="24"/>
          <w:szCs w:val="24"/>
        </w:rPr>
        <w:t>公司</w:t>
      </w:r>
      <w:r>
        <w:rPr>
          <w:rFonts w:ascii="宋体" w:eastAsia="宋体" w:hAnsi="宋体" w:hint="eastAsia"/>
          <w:sz w:val="24"/>
          <w:szCs w:val="24"/>
        </w:rPr>
        <w:t>具</w:t>
      </w:r>
      <w:r w:rsidR="002D0559">
        <w:rPr>
          <w:rFonts w:ascii="宋体" w:eastAsia="宋体" w:hAnsi="宋体" w:hint="eastAsia"/>
          <w:sz w:val="24"/>
          <w:szCs w:val="24"/>
        </w:rPr>
        <w:t>备</w:t>
      </w:r>
      <w:r>
        <w:rPr>
          <w:rFonts w:ascii="宋体" w:eastAsia="宋体" w:hAnsi="宋体" w:hint="eastAsia"/>
          <w:sz w:val="24"/>
          <w:szCs w:val="24"/>
        </w:rPr>
        <w:t>成本优势。在争夺供应商的价格战中</w:t>
      </w:r>
      <w:r w:rsidR="00486EA2">
        <w:rPr>
          <w:rFonts w:ascii="宋体" w:eastAsia="宋体" w:hAnsi="宋体" w:hint="eastAsia"/>
          <w:sz w:val="24"/>
          <w:szCs w:val="24"/>
        </w:rPr>
        <w:t>，</w:t>
      </w:r>
      <w:r>
        <w:rPr>
          <w:rFonts w:ascii="宋体" w:eastAsia="宋体" w:hAnsi="宋体" w:hint="eastAsia"/>
          <w:sz w:val="24"/>
          <w:szCs w:val="24"/>
        </w:rPr>
        <w:t>因为企业成本较低，相对于其他在采购成本上拥有较强实力的竞争对手，格兰仕可以在较大的边际利益范围内应对不稳定经济因素造成的压力。同时，企业在成本低的情况下对供应商有着强烈的合作需求，为企业获得较低价格的采购创造了条件，有利于与供应商建立合作关系。</w:t>
      </w:r>
    </w:p>
    <w:p w14:paraId="55B767C9" w14:textId="25259F7C" w:rsidR="00486EA2" w:rsidRDefault="00764057" w:rsidP="00486EA2">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格兰仕公司供应链战略匹配中也存在着一些问题，一是忽略了产品生命周期的影响以及产品属性的要求；二是长期投身于价格战，忽略了客户服务；三是对客户需求以及供应链的不确定性把握不够准确。为解决供应链战略匹配问题，格兰仕公司应该根据产品生命周期的不断阶段需求特点适时地调整供应链，建立标准化的配送中心，优化供应链管理流程，同时也要重视客户服务，</w:t>
      </w:r>
      <w:r>
        <w:rPr>
          <w:rFonts w:ascii="宋体" w:eastAsia="宋体" w:hAnsi="宋体" w:hint="eastAsia"/>
          <w:sz w:val="24"/>
          <w:szCs w:val="24"/>
        </w:rPr>
        <w:lastRenderedPageBreak/>
        <w:t>优化品牌形象，了解客户需求以及供应链的不确定性，加快产品的创新。</w:t>
      </w:r>
    </w:p>
    <w:p w14:paraId="067FE285" w14:textId="6401188A" w:rsidR="00DF1D32" w:rsidRDefault="002D0559" w:rsidP="00486EA2">
      <w:pPr>
        <w:spacing w:line="360" w:lineRule="auto"/>
        <w:ind w:firstLineChars="200" w:firstLine="480"/>
        <w:jc w:val="left"/>
        <w:rPr>
          <w:rFonts w:ascii="宋体" w:eastAsia="宋体" w:hAnsi="宋体"/>
          <w:sz w:val="24"/>
          <w:szCs w:val="24"/>
        </w:rPr>
      </w:pPr>
      <w:r>
        <w:rPr>
          <w:rFonts w:ascii="宋体" w:eastAsia="宋体" w:hAnsi="宋体" w:hint="eastAsia"/>
          <w:noProof/>
          <w:sz w:val="24"/>
          <w:szCs w:val="24"/>
        </w:rPr>
        <w:drawing>
          <wp:anchor distT="0" distB="0" distL="114300" distR="114300" simplePos="0" relativeHeight="251669504" behindDoc="0" locked="0" layoutInCell="1" allowOverlap="1" wp14:anchorId="676CD373" wp14:editId="253D1C83">
            <wp:simplePos x="0" y="0"/>
            <wp:positionH relativeFrom="page">
              <wp:posOffset>2068734</wp:posOffset>
            </wp:positionH>
            <wp:positionV relativeFrom="paragraph">
              <wp:posOffset>14027</wp:posOffset>
            </wp:positionV>
            <wp:extent cx="3225800" cy="2809875"/>
            <wp:effectExtent l="0" t="0" r="0" b="9525"/>
            <wp:wrapSquare wrapText="bothSides"/>
            <wp:docPr id="13222810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225800" cy="2809875"/>
                    </a:xfrm>
                    <a:prstGeom prst="rect">
                      <a:avLst/>
                    </a:prstGeom>
                    <a:noFill/>
                  </pic:spPr>
                </pic:pic>
              </a:graphicData>
            </a:graphic>
            <wp14:sizeRelH relativeFrom="page">
              <wp14:pctWidth>0</wp14:pctWidth>
            </wp14:sizeRelH>
            <wp14:sizeRelV relativeFrom="page">
              <wp14:pctHeight>0</wp14:pctHeight>
            </wp14:sizeRelV>
          </wp:anchor>
        </w:drawing>
      </w:r>
      <w:r w:rsidR="0077503D">
        <w:rPr>
          <w:noProof/>
        </w:rPr>
        <mc:AlternateContent>
          <mc:Choice Requires="wps">
            <w:drawing>
              <wp:anchor distT="0" distB="0" distL="114300" distR="114300" simplePos="0" relativeHeight="251671552" behindDoc="0" locked="0" layoutInCell="1" allowOverlap="1" wp14:anchorId="32DF20BF" wp14:editId="12598908">
                <wp:simplePos x="0" y="0"/>
                <wp:positionH relativeFrom="column">
                  <wp:posOffset>781050</wp:posOffset>
                </wp:positionH>
                <wp:positionV relativeFrom="paragraph">
                  <wp:posOffset>2927350</wp:posOffset>
                </wp:positionV>
                <wp:extent cx="3225800" cy="635"/>
                <wp:effectExtent l="0" t="0" r="0" b="0"/>
                <wp:wrapSquare wrapText="bothSides"/>
                <wp:docPr id="1529878897" name="文本框 1"/>
                <wp:cNvGraphicFramePr/>
                <a:graphic xmlns:a="http://schemas.openxmlformats.org/drawingml/2006/main">
                  <a:graphicData uri="http://schemas.microsoft.com/office/word/2010/wordprocessingShape">
                    <wps:wsp>
                      <wps:cNvSpPr txBox="1"/>
                      <wps:spPr>
                        <a:xfrm>
                          <a:off x="0" y="0"/>
                          <a:ext cx="3225800" cy="635"/>
                        </a:xfrm>
                        <a:prstGeom prst="rect">
                          <a:avLst/>
                        </a:prstGeom>
                        <a:solidFill>
                          <a:prstClr val="white"/>
                        </a:solidFill>
                        <a:ln>
                          <a:noFill/>
                        </a:ln>
                      </wps:spPr>
                      <wps:txbx>
                        <w:txbxContent>
                          <w:p w14:paraId="2353FD7A" w14:textId="5B0168AD" w:rsidR="0077503D" w:rsidRPr="0077503D" w:rsidRDefault="0077503D" w:rsidP="0077503D">
                            <w:pPr>
                              <w:pStyle w:val="a4"/>
                              <w:jc w:val="center"/>
                              <w:rPr>
                                <w:rFonts w:ascii="微软雅黑" w:eastAsia="微软雅黑" w:hAnsi="微软雅黑"/>
                                <w:noProof/>
                                <w:sz w:val="22"/>
                                <w:szCs w:val="22"/>
                              </w:rPr>
                            </w:pPr>
                            <w:r>
                              <w:rPr>
                                <w:rFonts w:ascii="微软雅黑" w:eastAsia="微软雅黑" w:hAnsi="微软雅黑" w:hint="eastAsia"/>
                                <w:sz w:val="18"/>
                                <w:szCs w:val="18"/>
                              </w:rPr>
                              <w:t>图1</w:t>
                            </w:r>
                            <w:r>
                              <w:rPr>
                                <w:rFonts w:ascii="微软雅黑" w:eastAsia="微软雅黑" w:hAnsi="微软雅黑"/>
                                <w:sz w:val="18"/>
                                <w:szCs w:val="18"/>
                              </w:rPr>
                              <w:t xml:space="preserve"> 格兰仕</w:t>
                            </w:r>
                            <w:r>
                              <w:rPr>
                                <w:rFonts w:ascii="微软雅黑" w:eastAsia="微软雅黑" w:hAnsi="微软雅黑" w:hint="eastAsia"/>
                                <w:sz w:val="18"/>
                                <w:szCs w:val="18"/>
                              </w:rPr>
                              <w:t>与其他企业降低成本的不同思路</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32DF20BF" id="_x0000_t202" coordsize="21600,21600" o:spt="202" path="m,l,21600r21600,l21600,xe">
                <v:stroke joinstyle="miter"/>
                <v:path gradientshapeok="t" o:connecttype="rect"/>
              </v:shapetype>
              <v:shape id="文本框 1" o:spid="_x0000_s1026" type="#_x0000_t202" style="position:absolute;left:0;text-align:left;margin-left:61.5pt;margin-top:230.5pt;width:254pt;height:.0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" stroked="f">
                <v:textbox style="mso-fit-shape-to-text:t" inset="0,0,0,0">
                  <w:txbxContent>
                    <w:p w14:paraId="2353FD7A" w14:textId="5B0168AD" w:rsidR="0077503D" w:rsidRPr="0077503D" w:rsidRDefault="0077503D" w:rsidP="0077503D">
                      <w:pPr>
                        <w:pStyle w:val="a4"/>
                        <w:jc w:val="center"/>
                        <w:rPr>
                          <w:rFonts w:ascii="微软雅黑" w:eastAsia="微软雅黑" w:hAnsi="微软雅黑"/>
                          <w:noProof/>
                          <w:sz w:val="22"/>
                          <w:szCs w:val="22"/>
                        </w:rPr>
                      </w:pPr>
                      <w:r>
                        <w:rPr>
                          <w:rFonts w:ascii="微软雅黑" w:eastAsia="微软雅黑" w:hAnsi="微软雅黑" w:hint="eastAsia"/>
                          <w:sz w:val="18"/>
                          <w:szCs w:val="18"/>
                        </w:rPr>
                        <w:t>图1</w:t>
                      </w:r>
                      <w:r>
                        <w:rPr>
                          <w:rFonts w:ascii="微软雅黑" w:eastAsia="微软雅黑" w:hAnsi="微软雅黑"/>
                          <w:sz w:val="18"/>
                          <w:szCs w:val="18"/>
                        </w:rPr>
                        <w:t xml:space="preserve"> 格兰仕</w:t>
                      </w:r>
                      <w:r>
                        <w:rPr>
                          <w:rFonts w:ascii="微软雅黑" w:eastAsia="微软雅黑" w:hAnsi="微软雅黑" w:hint="eastAsia"/>
                          <w:sz w:val="18"/>
                          <w:szCs w:val="18"/>
                        </w:rPr>
                        <w:t>与其他企业降低成本的不同思路</w:t>
                      </w:r>
                    </w:p>
                  </w:txbxContent>
                </v:textbox>
                <w10:wrap type="square"/>
              </v:shape>
            </w:pict>
          </mc:Fallback>
        </mc:AlternateContent>
      </w:r>
    </w:p>
    <w:p w14:paraId="73D85D60" w14:textId="14D443E2" w:rsidR="00DF1D32" w:rsidRDefault="00DF1D32" w:rsidP="00486EA2">
      <w:pPr>
        <w:spacing w:line="360" w:lineRule="auto"/>
        <w:ind w:firstLineChars="200" w:firstLine="480"/>
        <w:jc w:val="left"/>
        <w:rPr>
          <w:rFonts w:ascii="宋体" w:eastAsia="宋体" w:hAnsi="宋体"/>
          <w:sz w:val="24"/>
          <w:szCs w:val="24"/>
        </w:rPr>
      </w:pPr>
    </w:p>
    <w:p w14:paraId="1A024439" w14:textId="74A77088" w:rsidR="00DF1D32" w:rsidRDefault="00DF1D32" w:rsidP="00486EA2">
      <w:pPr>
        <w:spacing w:line="360" w:lineRule="auto"/>
        <w:ind w:firstLineChars="200" w:firstLine="480"/>
        <w:jc w:val="left"/>
        <w:rPr>
          <w:rFonts w:ascii="宋体" w:eastAsia="宋体" w:hAnsi="宋体"/>
          <w:sz w:val="24"/>
          <w:szCs w:val="24"/>
        </w:rPr>
      </w:pPr>
    </w:p>
    <w:p w14:paraId="6C346FAB" w14:textId="4AE7C627" w:rsidR="00DF1D32" w:rsidRDefault="00DF1D32" w:rsidP="00486EA2">
      <w:pPr>
        <w:spacing w:line="360" w:lineRule="auto"/>
        <w:ind w:firstLineChars="200" w:firstLine="480"/>
        <w:jc w:val="left"/>
        <w:rPr>
          <w:rFonts w:ascii="宋体" w:eastAsia="宋体" w:hAnsi="宋体"/>
          <w:sz w:val="24"/>
          <w:szCs w:val="24"/>
        </w:rPr>
      </w:pPr>
    </w:p>
    <w:p w14:paraId="2C8D1087" w14:textId="3378C0C7" w:rsidR="00DF1D32" w:rsidRDefault="00DF1D32" w:rsidP="00486EA2">
      <w:pPr>
        <w:spacing w:line="360" w:lineRule="auto"/>
        <w:ind w:firstLineChars="200" w:firstLine="480"/>
        <w:jc w:val="left"/>
        <w:rPr>
          <w:rFonts w:ascii="宋体" w:eastAsia="宋体" w:hAnsi="宋体"/>
          <w:sz w:val="24"/>
          <w:szCs w:val="24"/>
        </w:rPr>
      </w:pPr>
    </w:p>
    <w:p w14:paraId="6E8BA5F8" w14:textId="6AD5FB38" w:rsidR="00DF1D32" w:rsidRDefault="00DF1D32" w:rsidP="00486EA2">
      <w:pPr>
        <w:spacing w:line="360" w:lineRule="auto"/>
        <w:ind w:firstLineChars="200" w:firstLine="480"/>
        <w:jc w:val="left"/>
        <w:rPr>
          <w:rFonts w:ascii="宋体" w:eastAsia="宋体" w:hAnsi="宋体"/>
          <w:sz w:val="24"/>
          <w:szCs w:val="24"/>
        </w:rPr>
      </w:pPr>
    </w:p>
    <w:p w14:paraId="6CF1F091" w14:textId="0D956E7D" w:rsidR="00DF1D32" w:rsidRDefault="00DF1D32" w:rsidP="00486EA2">
      <w:pPr>
        <w:spacing w:line="360" w:lineRule="auto"/>
        <w:ind w:firstLineChars="200" w:firstLine="480"/>
        <w:jc w:val="left"/>
        <w:rPr>
          <w:rFonts w:ascii="宋体" w:eastAsia="宋体" w:hAnsi="宋体"/>
          <w:sz w:val="24"/>
          <w:szCs w:val="24"/>
        </w:rPr>
      </w:pPr>
    </w:p>
    <w:p w14:paraId="51ED40C4" w14:textId="76472D43" w:rsidR="00DF1D32" w:rsidRDefault="00DF1D32" w:rsidP="00486EA2">
      <w:pPr>
        <w:spacing w:line="360" w:lineRule="auto"/>
        <w:ind w:firstLineChars="200" w:firstLine="480"/>
        <w:jc w:val="left"/>
        <w:rPr>
          <w:rFonts w:ascii="宋体" w:eastAsia="宋体" w:hAnsi="宋体"/>
          <w:sz w:val="24"/>
          <w:szCs w:val="24"/>
        </w:rPr>
      </w:pPr>
    </w:p>
    <w:p w14:paraId="7BD7F058" w14:textId="6F3DD288" w:rsidR="00DF1D32" w:rsidRDefault="00DF1D32" w:rsidP="00486EA2">
      <w:pPr>
        <w:spacing w:line="360" w:lineRule="auto"/>
        <w:ind w:firstLineChars="200" w:firstLine="480"/>
        <w:jc w:val="left"/>
        <w:rPr>
          <w:rFonts w:ascii="宋体" w:eastAsia="宋体" w:hAnsi="宋体"/>
          <w:sz w:val="24"/>
          <w:szCs w:val="24"/>
        </w:rPr>
      </w:pPr>
    </w:p>
    <w:p w14:paraId="380DFF54" w14:textId="4E64BFE3" w:rsidR="00DF1D32" w:rsidRDefault="00DF1D32" w:rsidP="00486EA2">
      <w:pPr>
        <w:spacing w:line="360" w:lineRule="auto"/>
        <w:ind w:firstLineChars="200" w:firstLine="480"/>
        <w:jc w:val="left"/>
        <w:rPr>
          <w:rFonts w:ascii="宋体" w:eastAsia="宋体" w:hAnsi="宋体"/>
          <w:sz w:val="24"/>
          <w:szCs w:val="24"/>
        </w:rPr>
      </w:pPr>
    </w:p>
    <w:p w14:paraId="4B00EFB4" w14:textId="2F9E2BE5" w:rsidR="0077503D" w:rsidRDefault="0077503D" w:rsidP="00486EA2">
      <w:pPr>
        <w:spacing w:line="360" w:lineRule="auto"/>
        <w:ind w:firstLineChars="200" w:firstLine="480"/>
        <w:jc w:val="left"/>
        <w:rPr>
          <w:rFonts w:ascii="宋体" w:eastAsia="宋体" w:hAnsi="宋体"/>
          <w:sz w:val="24"/>
          <w:szCs w:val="24"/>
        </w:rPr>
      </w:pPr>
    </w:p>
    <w:p w14:paraId="363D56EC" w14:textId="6AE41999" w:rsidR="00764057" w:rsidRDefault="00764057" w:rsidP="00764057">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而农业上市公司</w:t>
      </w:r>
      <w:r w:rsidRPr="00764057">
        <w:rPr>
          <w:rFonts w:ascii="宋体" w:eastAsia="宋体" w:hAnsi="宋体" w:hint="eastAsia"/>
          <w:sz w:val="24"/>
          <w:szCs w:val="24"/>
        </w:rPr>
        <w:t>在激烈的市场环境中</w:t>
      </w:r>
      <w:r>
        <w:rPr>
          <w:rFonts w:ascii="宋体" w:eastAsia="宋体" w:hAnsi="宋体" w:hint="eastAsia"/>
          <w:sz w:val="24"/>
          <w:szCs w:val="24"/>
        </w:rPr>
        <w:t>，</w:t>
      </w:r>
      <w:r w:rsidRPr="00764057">
        <w:rPr>
          <w:rFonts w:ascii="宋体" w:eastAsia="宋体" w:hAnsi="宋体" w:hint="eastAsia"/>
          <w:sz w:val="24"/>
          <w:szCs w:val="24"/>
        </w:rPr>
        <w:t>受困于</w:t>
      </w:r>
      <w:r>
        <w:rPr>
          <w:rFonts w:ascii="宋体" w:eastAsia="宋体" w:hAnsi="宋体" w:hint="eastAsia"/>
          <w:sz w:val="24"/>
          <w:szCs w:val="24"/>
        </w:rPr>
        <w:t>供应</w:t>
      </w:r>
      <w:r w:rsidRPr="00764057">
        <w:rPr>
          <w:rFonts w:ascii="宋体" w:eastAsia="宋体" w:hAnsi="宋体" w:hint="eastAsia"/>
          <w:sz w:val="24"/>
          <w:szCs w:val="24"/>
        </w:rPr>
        <w:t>链上的“断层”和“撕裂”，其传统的经营管理模式难以为继，甚至面临着“崩盘”的系统性危险。</w:t>
      </w:r>
      <w:r>
        <w:rPr>
          <w:rFonts w:ascii="宋体" w:eastAsia="宋体" w:hAnsi="宋体" w:hint="eastAsia"/>
          <w:sz w:val="24"/>
          <w:szCs w:val="24"/>
        </w:rPr>
        <w:t>其需要顺应农村经济发展的新趋势</w:t>
      </w:r>
      <w:r w:rsidRPr="00CC634F">
        <w:rPr>
          <w:rFonts w:ascii="宋体" w:eastAsia="宋体" w:hAnsi="宋体" w:hint="eastAsia"/>
          <w:b/>
          <w:bCs/>
          <w:sz w:val="24"/>
          <w:szCs w:val="24"/>
        </w:rPr>
        <w:t>调整企业的发展战略</w:t>
      </w:r>
      <w:r>
        <w:rPr>
          <w:rFonts w:ascii="宋体" w:eastAsia="宋体" w:hAnsi="宋体" w:hint="eastAsia"/>
          <w:sz w:val="24"/>
          <w:szCs w:val="24"/>
        </w:rPr>
        <w:t>，以实现企业产业链的改革与升级。主要表现在以下方面：</w:t>
      </w:r>
    </w:p>
    <w:p w14:paraId="734AC0E6" w14:textId="47981DCB" w:rsidR="00EC1E25" w:rsidRDefault="00764057" w:rsidP="00C60242">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一是供应链基础架构要实现</w:t>
      </w:r>
      <w:r w:rsidR="00C60242" w:rsidRPr="00CC634F">
        <w:rPr>
          <w:rFonts w:ascii="宋体" w:eastAsia="宋体" w:hAnsi="宋体" w:hint="eastAsia"/>
          <w:b/>
          <w:bCs/>
          <w:sz w:val="24"/>
          <w:szCs w:val="24"/>
        </w:rPr>
        <w:t>生</w:t>
      </w:r>
      <w:r w:rsidRPr="00CC634F">
        <w:rPr>
          <w:rFonts w:ascii="宋体" w:eastAsia="宋体" w:hAnsi="宋体" w:hint="eastAsia"/>
          <w:b/>
          <w:bCs/>
          <w:sz w:val="24"/>
          <w:szCs w:val="24"/>
        </w:rPr>
        <w:t>产供</w:t>
      </w:r>
      <w:r w:rsidR="00C60242" w:rsidRPr="00CC634F">
        <w:rPr>
          <w:rFonts w:ascii="宋体" w:eastAsia="宋体" w:hAnsi="宋体" w:hint="eastAsia"/>
          <w:b/>
          <w:bCs/>
          <w:sz w:val="24"/>
          <w:szCs w:val="24"/>
        </w:rPr>
        <w:t>应</w:t>
      </w:r>
      <w:r w:rsidRPr="00CC634F">
        <w:rPr>
          <w:rFonts w:ascii="宋体" w:eastAsia="宋体" w:hAnsi="宋体" w:hint="eastAsia"/>
          <w:b/>
          <w:bCs/>
          <w:sz w:val="24"/>
          <w:szCs w:val="24"/>
        </w:rPr>
        <w:t>销</w:t>
      </w:r>
      <w:r w:rsidR="00C60242" w:rsidRPr="00CC634F">
        <w:rPr>
          <w:rFonts w:ascii="宋体" w:eastAsia="宋体" w:hAnsi="宋体" w:hint="eastAsia"/>
          <w:b/>
          <w:bCs/>
          <w:sz w:val="24"/>
          <w:szCs w:val="24"/>
        </w:rPr>
        <w:t>售</w:t>
      </w:r>
      <w:r w:rsidRPr="00CC634F">
        <w:rPr>
          <w:rFonts w:ascii="宋体" w:eastAsia="宋体" w:hAnsi="宋体" w:hint="eastAsia"/>
          <w:b/>
          <w:bCs/>
          <w:sz w:val="24"/>
          <w:szCs w:val="24"/>
        </w:rPr>
        <w:t>一体化</w:t>
      </w:r>
      <w:r>
        <w:rPr>
          <w:rFonts w:ascii="宋体" w:eastAsia="宋体" w:hAnsi="宋体" w:hint="eastAsia"/>
          <w:sz w:val="24"/>
          <w:szCs w:val="24"/>
        </w:rPr>
        <w:t>，</w:t>
      </w:r>
      <w:r w:rsidR="00EC1E25">
        <w:rPr>
          <w:rFonts w:ascii="宋体" w:eastAsia="宋体" w:hAnsi="宋体" w:hint="eastAsia"/>
          <w:sz w:val="24"/>
          <w:szCs w:val="24"/>
        </w:rPr>
        <w:t>这</w:t>
      </w:r>
      <w:r w:rsidR="00EC1E25" w:rsidRPr="00EC1E25">
        <w:rPr>
          <w:rFonts w:ascii="宋体" w:eastAsia="宋体" w:hAnsi="宋体" w:hint="eastAsia"/>
          <w:sz w:val="24"/>
          <w:szCs w:val="24"/>
        </w:rPr>
        <w:t>涉及到具体某条供应链的组成环节以及各个环节之间的联系，是实现农业上市公司供应链战略匹配的基础。</w:t>
      </w:r>
      <w:r w:rsidR="00C60242" w:rsidRPr="00C60242">
        <w:rPr>
          <w:rFonts w:ascii="宋体" w:eastAsia="宋体" w:hAnsi="宋体" w:hint="eastAsia"/>
          <w:sz w:val="24"/>
          <w:szCs w:val="24"/>
        </w:rPr>
        <w:t>农业上市公司的企业经营者还应从控制论和系统论的理论层面入手，斟酌如何衔接上下游，保持供应链的高效、稳健及持续性发展，在拓展供应链功能的同时进一步推动供应链的一体化。</w:t>
      </w:r>
    </w:p>
    <w:p w14:paraId="0CC5E4C9" w14:textId="0253BFC4" w:rsidR="00EC1E25" w:rsidRDefault="00EC1E25" w:rsidP="00EC1E25">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二是供应链信息系统层实现</w:t>
      </w:r>
      <w:r w:rsidRPr="00CC634F">
        <w:rPr>
          <w:rFonts w:ascii="宋体" w:eastAsia="宋体" w:hAnsi="宋体" w:hint="eastAsia"/>
          <w:b/>
          <w:bCs/>
          <w:sz w:val="24"/>
          <w:szCs w:val="24"/>
        </w:rPr>
        <w:t>全链条的信息化</w:t>
      </w:r>
      <w:r>
        <w:rPr>
          <w:rFonts w:ascii="宋体" w:eastAsia="宋体" w:hAnsi="宋体" w:hint="eastAsia"/>
          <w:sz w:val="24"/>
          <w:szCs w:val="24"/>
        </w:rPr>
        <w:t>，以利用高新技术的智能化和信息化实现供应链系统的智能化与信息化，为企业创收和成本控制双向赋能。</w:t>
      </w:r>
    </w:p>
    <w:p w14:paraId="5CF4A662" w14:textId="142D67D8" w:rsidR="00EC1E25" w:rsidRDefault="00EC1E25" w:rsidP="00C60242">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三是供应链产品业务层实现</w:t>
      </w:r>
      <w:r w:rsidRPr="00CC634F">
        <w:rPr>
          <w:rFonts w:ascii="宋体" w:eastAsia="宋体" w:hAnsi="宋体" w:hint="eastAsia"/>
          <w:b/>
          <w:bCs/>
          <w:sz w:val="24"/>
          <w:szCs w:val="24"/>
        </w:rPr>
        <w:t>供应链成本与收益风险的最小化</w:t>
      </w:r>
      <w:r>
        <w:rPr>
          <w:rFonts w:ascii="宋体" w:eastAsia="宋体" w:hAnsi="宋体" w:hint="eastAsia"/>
          <w:sz w:val="24"/>
          <w:szCs w:val="24"/>
        </w:rPr>
        <w:t>，成本控制是解决企业的供应链在产品业务方面遇到的诸多现实问题</w:t>
      </w:r>
      <w:r w:rsidR="00C60242">
        <w:rPr>
          <w:rFonts w:ascii="宋体" w:eastAsia="宋体" w:hAnsi="宋体" w:hint="eastAsia"/>
          <w:sz w:val="24"/>
          <w:szCs w:val="24"/>
        </w:rPr>
        <w:t>以及实现企业盈利</w:t>
      </w:r>
      <w:r>
        <w:rPr>
          <w:rFonts w:ascii="宋体" w:eastAsia="宋体" w:hAnsi="宋体" w:hint="eastAsia"/>
          <w:sz w:val="24"/>
          <w:szCs w:val="24"/>
        </w:rPr>
        <w:t>的关键。</w:t>
      </w:r>
      <w:r w:rsidR="00C60242">
        <w:rPr>
          <w:rFonts w:ascii="宋体" w:eastAsia="宋体" w:hAnsi="宋体" w:hint="eastAsia"/>
          <w:sz w:val="24"/>
          <w:szCs w:val="24"/>
        </w:rPr>
        <w:t>如今</w:t>
      </w:r>
      <w:r w:rsidR="00C60242" w:rsidRPr="00C60242">
        <w:rPr>
          <w:rFonts w:ascii="宋体" w:eastAsia="宋体" w:hAnsi="宋体" w:hint="eastAsia"/>
          <w:sz w:val="24"/>
          <w:szCs w:val="24"/>
        </w:rPr>
        <w:t>农业上市公司的供应链在产品业务</w:t>
      </w:r>
      <w:r w:rsidR="00C60242">
        <w:rPr>
          <w:rFonts w:ascii="宋体" w:eastAsia="宋体" w:hAnsi="宋体" w:hint="eastAsia"/>
          <w:sz w:val="24"/>
          <w:szCs w:val="24"/>
        </w:rPr>
        <w:t>方面</w:t>
      </w:r>
      <w:r w:rsidR="00C60242" w:rsidRPr="00C60242">
        <w:rPr>
          <w:rFonts w:ascii="宋体" w:eastAsia="宋体" w:hAnsi="宋体" w:hint="eastAsia"/>
          <w:sz w:val="24"/>
          <w:szCs w:val="24"/>
        </w:rPr>
        <w:t>仍面临许多现实问题，如交易成本</w:t>
      </w:r>
      <w:r w:rsidR="00C60242">
        <w:rPr>
          <w:rFonts w:ascii="宋体" w:eastAsia="宋体" w:hAnsi="宋体" w:hint="eastAsia"/>
          <w:sz w:val="24"/>
          <w:szCs w:val="24"/>
        </w:rPr>
        <w:t>有时无法控制</w:t>
      </w:r>
      <w:r w:rsidR="00C60242" w:rsidRPr="00C60242">
        <w:rPr>
          <w:rFonts w:ascii="宋体" w:eastAsia="宋体" w:hAnsi="宋体" w:hint="eastAsia"/>
          <w:sz w:val="24"/>
          <w:szCs w:val="24"/>
        </w:rPr>
        <w:t>、生产成本规划度低、质量成本投入不足等，这些都是制约农业上市公司产业链延长、拓宽、加深的重要阻力。这些问题的本质</w:t>
      </w:r>
      <w:r w:rsidR="00C60242">
        <w:rPr>
          <w:rFonts w:ascii="宋体" w:eastAsia="宋体" w:hAnsi="宋体" w:hint="eastAsia"/>
          <w:sz w:val="24"/>
          <w:szCs w:val="24"/>
        </w:rPr>
        <w:t>归根到底是</w:t>
      </w:r>
      <w:r w:rsidR="00C60242" w:rsidRPr="00C60242">
        <w:rPr>
          <w:rFonts w:ascii="宋体" w:eastAsia="宋体" w:hAnsi="宋体" w:hint="eastAsia"/>
          <w:sz w:val="24"/>
          <w:szCs w:val="24"/>
        </w:rPr>
        <w:t>供应链成本管理，</w:t>
      </w:r>
      <w:r w:rsidR="00C60242">
        <w:rPr>
          <w:rFonts w:ascii="宋体" w:eastAsia="宋体" w:hAnsi="宋体" w:hint="eastAsia"/>
          <w:sz w:val="24"/>
          <w:szCs w:val="24"/>
        </w:rPr>
        <w:t>解决规划供应链成本的</w:t>
      </w:r>
      <w:r w:rsidR="00C60242" w:rsidRPr="00C60242">
        <w:rPr>
          <w:rFonts w:ascii="宋体" w:eastAsia="宋体" w:hAnsi="宋体" w:hint="eastAsia"/>
          <w:sz w:val="24"/>
          <w:szCs w:val="24"/>
        </w:rPr>
        <w:t>主要思路如下：一是要形成供应链</w:t>
      </w:r>
      <w:r w:rsidR="00C60242" w:rsidRPr="00C60242">
        <w:rPr>
          <w:rFonts w:ascii="宋体" w:eastAsia="宋体" w:hAnsi="宋体" w:hint="eastAsia"/>
          <w:sz w:val="24"/>
          <w:szCs w:val="24"/>
        </w:rPr>
        <w:lastRenderedPageBreak/>
        <w:t>管理的全员意识，让企业的每一位员工都成为</w:t>
      </w:r>
      <w:r w:rsidR="00D96072">
        <w:rPr>
          <w:rFonts w:ascii="宋体" w:eastAsia="宋体" w:hAnsi="宋体" w:hint="eastAsia"/>
          <w:sz w:val="24"/>
          <w:szCs w:val="24"/>
        </w:rPr>
        <w:t>公司发展</w:t>
      </w:r>
      <w:r w:rsidR="00C60242" w:rsidRPr="00C60242">
        <w:rPr>
          <w:rFonts w:ascii="宋体" w:eastAsia="宋体" w:hAnsi="宋体" w:hint="eastAsia"/>
          <w:sz w:val="24"/>
          <w:szCs w:val="24"/>
        </w:rPr>
        <w:t>的行动主体，及时发现、反馈</w:t>
      </w:r>
      <w:r w:rsidR="00D96072">
        <w:rPr>
          <w:rFonts w:ascii="宋体" w:eastAsia="宋体" w:hAnsi="宋体" w:hint="eastAsia"/>
          <w:sz w:val="24"/>
          <w:szCs w:val="24"/>
        </w:rPr>
        <w:t>及</w:t>
      </w:r>
      <w:r w:rsidR="00C60242" w:rsidRPr="00C60242">
        <w:rPr>
          <w:rFonts w:ascii="宋体" w:eastAsia="宋体" w:hAnsi="宋体" w:hint="eastAsia"/>
          <w:sz w:val="24"/>
          <w:szCs w:val="24"/>
        </w:rPr>
        <w:t>解决问题，减少企业弥补缺漏的成本投入；二是优化成本核算方法，从产品生产到获利的整个环节都贯彻“精益成本”理念，打造规模红利；三是要革新管理制度，针对员工制定动态灵活的考核机制和激励机制，降低企业的人力资源成本；四是要做好企业公关，这主要是针对现代企业危机频发和社会信任体系崩塌的困境，“形于外而诚于内”的企业公关能有效减少企业的信任风险成本。</w:t>
      </w:r>
    </w:p>
    <w:p w14:paraId="5C48C5D5" w14:textId="695C0DD4" w:rsidR="00EC1E25" w:rsidRDefault="00EC1E25" w:rsidP="00EC1E25">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四是供应链客户服务</w:t>
      </w:r>
      <w:r w:rsidR="0093748B">
        <w:rPr>
          <w:rFonts w:ascii="宋体" w:eastAsia="宋体" w:hAnsi="宋体" w:hint="eastAsia"/>
          <w:sz w:val="24"/>
          <w:szCs w:val="24"/>
        </w:rPr>
        <w:t>方面要</w:t>
      </w:r>
      <w:r>
        <w:rPr>
          <w:rFonts w:ascii="宋体" w:eastAsia="宋体" w:hAnsi="宋体" w:hint="eastAsia"/>
          <w:sz w:val="24"/>
          <w:szCs w:val="24"/>
        </w:rPr>
        <w:t>实现</w:t>
      </w:r>
      <w:r w:rsidRPr="00CC634F">
        <w:rPr>
          <w:rFonts w:ascii="宋体" w:eastAsia="宋体" w:hAnsi="宋体" w:hint="eastAsia"/>
          <w:b/>
          <w:bCs/>
          <w:sz w:val="24"/>
          <w:szCs w:val="24"/>
        </w:rPr>
        <w:t>产品和服务形式的多样化</w:t>
      </w:r>
      <w:r>
        <w:rPr>
          <w:rFonts w:ascii="宋体" w:eastAsia="宋体" w:hAnsi="宋体" w:hint="eastAsia"/>
          <w:sz w:val="24"/>
          <w:szCs w:val="24"/>
        </w:rPr>
        <w:t>，针对不同受众群体制定不同的业务类型</w:t>
      </w:r>
      <w:r w:rsidR="0093748B">
        <w:rPr>
          <w:rFonts w:ascii="宋体" w:eastAsia="宋体" w:hAnsi="宋体" w:hint="eastAsia"/>
          <w:sz w:val="24"/>
          <w:szCs w:val="24"/>
        </w:rPr>
        <w:t>与服务方式</w:t>
      </w:r>
      <w:r>
        <w:rPr>
          <w:rFonts w:ascii="宋体" w:eastAsia="宋体" w:hAnsi="宋体" w:hint="eastAsia"/>
          <w:sz w:val="24"/>
          <w:szCs w:val="24"/>
        </w:rPr>
        <w:t>，致力于满足不同消费者在商业专业度、服务度及性价比等</w:t>
      </w:r>
      <w:r w:rsidR="0093748B">
        <w:rPr>
          <w:rFonts w:ascii="宋体" w:eastAsia="宋体" w:hAnsi="宋体" w:hint="eastAsia"/>
          <w:sz w:val="24"/>
          <w:szCs w:val="24"/>
        </w:rPr>
        <w:t>多个</w:t>
      </w:r>
      <w:r>
        <w:rPr>
          <w:rFonts w:ascii="宋体" w:eastAsia="宋体" w:hAnsi="宋体" w:hint="eastAsia"/>
          <w:sz w:val="24"/>
          <w:szCs w:val="24"/>
        </w:rPr>
        <w:t>方面的不同诉求。</w:t>
      </w:r>
    </w:p>
    <w:p w14:paraId="602DA6F6" w14:textId="0FAAF4E5" w:rsidR="00EC1E25" w:rsidRDefault="00EC1E25" w:rsidP="00EC1E25">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总而言之，</w:t>
      </w:r>
      <w:r w:rsidR="00D81D27">
        <w:rPr>
          <w:rFonts w:ascii="宋体" w:eastAsia="宋体" w:hAnsi="宋体" w:hint="eastAsia"/>
          <w:sz w:val="24"/>
          <w:szCs w:val="24"/>
        </w:rPr>
        <w:t>无论是格兰仕公司还是农业上市公司，它们都在一些方面具备竞争优势，在面对发展机遇的同时也</w:t>
      </w:r>
      <w:r w:rsidR="00156049">
        <w:rPr>
          <w:rFonts w:ascii="宋体" w:eastAsia="宋体" w:hAnsi="宋体" w:hint="eastAsia"/>
          <w:sz w:val="24"/>
          <w:szCs w:val="24"/>
        </w:rPr>
        <w:t>会遇到或大或小的挑战，在激烈的市场竞争中，它们需要不断创新、提高品质，并积极了解和适应消费者需求变化和市场变化。</w:t>
      </w:r>
      <w:r>
        <w:rPr>
          <w:rFonts w:ascii="宋体" w:eastAsia="宋体" w:hAnsi="宋体" w:hint="eastAsia"/>
          <w:sz w:val="24"/>
          <w:szCs w:val="24"/>
        </w:rPr>
        <w:t>不同产业公司的竞争战略与供应链战略匹配</w:t>
      </w:r>
      <w:r w:rsidR="00954BA7">
        <w:rPr>
          <w:rFonts w:ascii="宋体" w:eastAsia="宋体" w:hAnsi="宋体" w:hint="eastAsia"/>
          <w:sz w:val="24"/>
          <w:szCs w:val="24"/>
        </w:rPr>
        <w:t>也会有所不同，企业应该在不断了解客户需求与供应链不确定性的同时不断地改革和升级自身的供应链战略，</w:t>
      </w:r>
      <w:r w:rsidR="00156049">
        <w:rPr>
          <w:rFonts w:ascii="宋体" w:eastAsia="宋体" w:hAnsi="宋体" w:hint="eastAsia"/>
          <w:sz w:val="24"/>
          <w:szCs w:val="24"/>
        </w:rPr>
        <w:t>同时通过国际化和多元化的战略，进一步扩大自身的市场份额和利润空间，通过线上线下融合提升销售渠道和服务水平，</w:t>
      </w:r>
      <w:r w:rsidR="00954BA7">
        <w:rPr>
          <w:rFonts w:ascii="宋体" w:eastAsia="宋体" w:hAnsi="宋体" w:hint="eastAsia"/>
          <w:sz w:val="24"/>
          <w:szCs w:val="24"/>
        </w:rPr>
        <w:t>以实现企业更好更快地发展。</w:t>
      </w:r>
    </w:p>
    <w:p w14:paraId="52246AF7" w14:textId="77777777" w:rsidR="00954BA7" w:rsidRDefault="00954BA7" w:rsidP="00EC1E25">
      <w:pPr>
        <w:spacing w:line="360" w:lineRule="auto"/>
        <w:ind w:firstLineChars="200" w:firstLine="480"/>
        <w:jc w:val="left"/>
        <w:rPr>
          <w:rFonts w:ascii="宋体" w:eastAsia="宋体" w:hAnsi="宋体"/>
          <w:sz w:val="24"/>
          <w:szCs w:val="24"/>
        </w:rPr>
      </w:pPr>
    </w:p>
    <w:p w14:paraId="5B122842" w14:textId="0DF31877" w:rsidR="00954BA7" w:rsidRDefault="000A1FDE" w:rsidP="000A1FDE">
      <w:pPr>
        <w:spacing w:line="360" w:lineRule="auto"/>
        <w:jc w:val="left"/>
        <w:rPr>
          <w:rFonts w:ascii="微软雅黑" w:eastAsia="微软雅黑" w:hAnsi="微软雅黑"/>
          <w:color w:val="666666"/>
          <w:sz w:val="18"/>
          <w:szCs w:val="18"/>
          <w:shd w:val="clear" w:color="auto" w:fill="FFFFFF"/>
        </w:rPr>
      </w:pPr>
      <w:r>
        <w:rPr>
          <w:rFonts w:ascii="微软雅黑" w:eastAsia="微软雅黑" w:hAnsi="微软雅黑" w:hint="eastAsia"/>
          <w:color w:val="666666"/>
          <w:sz w:val="18"/>
          <w:szCs w:val="18"/>
          <w:shd w:val="clear" w:color="auto" w:fill="FFFFFF"/>
        </w:rPr>
        <w:t>[1]李佛赏.格兰仕公司的供应链战略匹配问题研究[J].经贸实践,2015,(08):258-259.</w:t>
      </w:r>
    </w:p>
    <w:p w14:paraId="2BCB8A53" w14:textId="4B467A67" w:rsidR="000A1FDE" w:rsidRDefault="000A1FDE" w:rsidP="000A1FDE">
      <w:pPr>
        <w:spacing w:line="360" w:lineRule="auto"/>
        <w:jc w:val="left"/>
        <w:rPr>
          <w:rFonts w:ascii="宋体" w:eastAsia="宋体" w:hAnsi="宋体"/>
          <w:sz w:val="24"/>
          <w:szCs w:val="24"/>
        </w:rPr>
      </w:pPr>
      <w:r>
        <w:rPr>
          <w:rFonts w:ascii="微软雅黑" w:eastAsia="微软雅黑" w:hAnsi="微软雅黑" w:hint="eastAsia"/>
          <w:color w:val="666666"/>
          <w:sz w:val="18"/>
          <w:szCs w:val="18"/>
          <w:shd w:val="clear" w:color="auto" w:fill="FFFFFF"/>
        </w:rPr>
        <w:t>[2]徐熠明.农业上市公司供应链战略匹配机制研究[J].中国果树,2022,(06):112-113.</w:t>
      </w:r>
    </w:p>
    <w:p w14:paraId="409DEBE7" w14:textId="77777777" w:rsidR="00EE2B86" w:rsidRDefault="00EE2B86">
      <w:pPr>
        <w:widowControl/>
        <w:jc w:val="left"/>
        <w:rPr>
          <w:rFonts w:ascii="宋体" w:eastAsia="宋体" w:hAnsi="宋体"/>
          <w:b/>
          <w:bCs/>
          <w:sz w:val="32"/>
          <w:szCs w:val="32"/>
        </w:rPr>
      </w:pPr>
      <w:r>
        <w:rPr>
          <w:rFonts w:ascii="宋体" w:eastAsia="宋体" w:hAnsi="宋体"/>
          <w:b/>
          <w:bCs/>
          <w:sz w:val="32"/>
          <w:szCs w:val="32"/>
        </w:rPr>
        <w:br w:type="page"/>
      </w:r>
    </w:p>
    <w:p w14:paraId="17F7BE8B" w14:textId="7619389E" w:rsidR="00954BA7" w:rsidRDefault="00AE183B" w:rsidP="00AE183B">
      <w:pPr>
        <w:spacing w:line="360" w:lineRule="auto"/>
        <w:ind w:firstLineChars="200" w:firstLine="643"/>
        <w:jc w:val="center"/>
        <w:rPr>
          <w:rFonts w:ascii="宋体" w:eastAsia="宋体" w:hAnsi="宋体"/>
          <w:b/>
          <w:bCs/>
          <w:sz w:val="32"/>
          <w:szCs w:val="32"/>
        </w:rPr>
      </w:pPr>
      <w:r>
        <w:rPr>
          <w:rFonts w:ascii="宋体" w:eastAsia="宋体" w:hAnsi="宋体" w:hint="eastAsia"/>
          <w:b/>
          <w:bCs/>
          <w:sz w:val="32"/>
          <w:szCs w:val="32"/>
        </w:rPr>
        <w:lastRenderedPageBreak/>
        <w:t>（二）</w:t>
      </w:r>
    </w:p>
    <w:p w14:paraId="4B06FEB5" w14:textId="2297C666" w:rsidR="003D0D2D" w:rsidRDefault="003D0D2D" w:rsidP="003D0D2D">
      <w:pPr>
        <w:spacing w:line="360" w:lineRule="auto"/>
        <w:ind w:firstLineChars="200" w:firstLine="420"/>
        <w:jc w:val="center"/>
        <w:rPr>
          <w:rFonts w:ascii="宋体" w:eastAsia="宋体" w:hAnsi="宋体"/>
          <w:b/>
          <w:bCs/>
          <w:sz w:val="28"/>
          <w:szCs w:val="28"/>
        </w:rPr>
      </w:pPr>
      <w:r>
        <w:rPr>
          <w:noProof/>
        </w:rPr>
        <mc:AlternateContent>
          <mc:Choice Requires="wps">
            <w:drawing>
              <wp:anchor distT="0" distB="0" distL="114300" distR="114300" simplePos="0" relativeHeight="251674624" behindDoc="0" locked="0" layoutInCell="1" allowOverlap="1" wp14:anchorId="1C94B7AF" wp14:editId="68DA44FF">
                <wp:simplePos x="0" y="0"/>
                <wp:positionH relativeFrom="column">
                  <wp:posOffset>184150</wp:posOffset>
                </wp:positionH>
                <wp:positionV relativeFrom="paragraph">
                  <wp:posOffset>3756660</wp:posOffset>
                </wp:positionV>
                <wp:extent cx="5181600" cy="635"/>
                <wp:effectExtent l="0" t="0" r="0" b="0"/>
                <wp:wrapSquare wrapText="bothSides"/>
                <wp:docPr id="1460963279" name="文本框 1"/>
                <wp:cNvGraphicFramePr/>
                <a:graphic xmlns:a="http://schemas.openxmlformats.org/drawingml/2006/main">
                  <a:graphicData uri="http://schemas.microsoft.com/office/word/2010/wordprocessingShape">
                    <wps:wsp>
                      <wps:cNvSpPr txBox="1"/>
                      <wps:spPr>
                        <a:xfrm>
                          <a:off x="0" y="0"/>
                          <a:ext cx="5181600" cy="635"/>
                        </a:xfrm>
                        <a:prstGeom prst="rect">
                          <a:avLst/>
                        </a:prstGeom>
                        <a:solidFill>
                          <a:prstClr val="white"/>
                        </a:solidFill>
                        <a:ln>
                          <a:noFill/>
                        </a:ln>
                      </wps:spPr>
                      <wps:txbx>
                        <w:txbxContent>
                          <w:p w14:paraId="4729BFF1" w14:textId="3FEDD882" w:rsidR="003D0D2D" w:rsidRPr="003D0D2D" w:rsidRDefault="003D0D2D" w:rsidP="003D0D2D">
                            <w:pPr>
                              <w:pStyle w:val="a4"/>
                              <w:jc w:val="center"/>
                              <w:rPr>
                                <w:rFonts w:ascii="微软雅黑" w:eastAsia="微软雅黑" w:hAnsi="微软雅黑"/>
                                <w:b/>
                                <w:bCs/>
                                <w:noProof/>
                                <w:sz w:val="28"/>
                                <w:szCs w:val="28"/>
                              </w:rPr>
                            </w:pPr>
                            <w:r>
                              <w:rPr>
                                <w:rFonts w:ascii="微软雅黑" w:eastAsia="微软雅黑" w:hAnsi="微软雅黑" w:hint="eastAsia"/>
                              </w:rPr>
                              <w:t>图2</w:t>
                            </w:r>
                            <w:r>
                              <w:rPr>
                                <w:rFonts w:ascii="微软雅黑" w:eastAsia="微软雅黑" w:hAnsi="微软雅黑"/>
                              </w:rPr>
                              <w:t xml:space="preserve"> 库存管理</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 w14:anchorId="1C94B7AF" id="_x0000_s1027" type="#_x0000_t202" style="position:absolute;left:0;text-align:left;margin-left:14.5pt;margin-top:295.8pt;width:408pt;height:.0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" stroked="f">
                <v:textbox style="mso-fit-shape-to-text:t" inset="0,0,0,0">
                  <w:txbxContent>
                    <w:p w14:paraId="4729BFF1" w14:textId="3FEDD882" w:rsidR="003D0D2D" w:rsidRPr="003D0D2D" w:rsidRDefault="003D0D2D" w:rsidP="003D0D2D">
                      <w:pPr>
                        <w:pStyle w:val="a4"/>
                        <w:jc w:val="center"/>
                        <w:rPr>
                          <w:rFonts w:ascii="微软雅黑" w:eastAsia="微软雅黑" w:hAnsi="微软雅黑"/>
                          <w:b/>
                          <w:bCs/>
                          <w:noProof/>
                          <w:sz w:val="28"/>
                          <w:szCs w:val="28"/>
                        </w:rPr>
                      </w:pPr>
                      <w:r>
                        <w:rPr>
                          <w:rFonts w:ascii="微软雅黑" w:eastAsia="微软雅黑" w:hAnsi="微软雅黑" w:hint="eastAsia"/>
                        </w:rPr>
                        <w:t>图2</w:t>
                      </w:r>
                      <w:r>
                        <w:rPr>
                          <w:rFonts w:ascii="微软雅黑" w:eastAsia="微软雅黑" w:hAnsi="微软雅黑"/>
                        </w:rPr>
                        <w:t xml:space="preserve"> 库存管理</w:t>
                      </w:r>
                    </w:p>
                  </w:txbxContent>
                </v:textbox>
                <w10:wrap type="square"/>
              </v:shape>
            </w:pict>
          </mc:Fallback>
        </mc:AlternateContent>
      </w:r>
      <w:r>
        <w:rPr>
          <w:rFonts w:ascii="宋体" w:eastAsia="宋体" w:hAnsi="宋体"/>
          <w:b/>
          <w:bCs/>
          <w:noProof/>
          <w:sz w:val="28"/>
          <w:szCs w:val="28"/>
        </w:rPr>
        <w:drawing>
          <wp:anchor distT="0" distB="0" distL="114300" distR="114300" simplePos="0" relativeHeight="251672576" behindDoc="0" locked="0" layoutInCell="1" allowOverlap="1" wp14:anchorId="275DBB4D" wp14:editId="33A3025C">
            <wp:simplePos x="0" y="0"/>
            <wp:positionH relativeFrom="page">
              <wp:posOffset>1327150</wp:posOffset>
            </wp:positionH>
            <wp:positionV relativeFrom="paragraph">
              <wp:posOffset>480060</wp:posOffset>
            </wp:positionV>
            <wp:extent cx="5181600" cy="3219450"/>
            <wp:effectExtent l="0" t="0" r="0" b="0"/>
            <wp:wrapSquare wrapText="bothSides"/>
            <wp:docPr id="148796695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181600" cy="3219450"/>
                    </a:xfrm>
                    <a:prstGeom prst="rect">
                      <a:avLst/>
                    </a:prstGeom>
                    <a:noFill/>
                  </pic:spPr>
                </pic:pic>
              </a:graphicData>
            </a:graphic>
            <wp14:sizeRelH relativeFrom="page">
              <wp14:pctWidth>0</wp14:pctWidth>
            </wp14:sizeRelH>
            <wp14:sizeRelV relativeFrom="page">
              <wp14:pctHeight>0</wp14:pctHeight>
            </wp14:sizeRelV>
          </wp:anchor>
        </w:drawing>
      </w:r>
      <w:r w:rsidR="002222C9">
        <w:rPr>
          <w:rFonts w:ascii="宋体" w:eastAsia="宋体" w:hAnsi="宋体" w:hint="eastAsia"/>
          <w:b/>
          <w:bCs/>
          <w:sz w:val="28"/>
          <w:szCs w:val="28"/>
        </w:rPr>
        <w:t>库存管理优化</w:t>
      </w:r>
      <w:r w:rsidR="007A73C3">
        <w:rPr>
          <w:rFonts w:ascii="宋体" w:eastAsia="宋体" w:hAnsi="宋体" w:hint="eastAsia"/>
          <w:b/>
          <w:bCs/>
          <w:sz w:val="28"/>
          <w:szCs w:val="28"/>
        </w:rPr>
        <w:t>——以制造企业为例</w:t>
      </w:r>
    </w:p>
    <w:p w14:paraId="75284267" w14:textId="0E62D265" w:rsidR="002222C9" w:rsidRDefault="007A73C3" w:rsidP="002222C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库存管理是一种库存控制的手段，保障企业在生产过程中既能满足生产</w:t>
      </w:r>
      <w:r w:rsidR="004B1E00">
        <w:rPr>
          <w:rFonts w:ascii="宋体" w:eastAsia="宋体" w:hAnsi="宋体" w:hint="eastAsia"/>
          <w:sz w:val="24"/>
          <w:szCs w:val="24"/>
        </w:rPr>
        <w:t>活动</w:t>
      </w:r>
      <w:r>
        <w:rPr>
          <w:rFonts w:ascii="宋体" w:eastAsia="宋体" w:hAnsi="宋体" w:hint="eastAsia"/>
          <w:sz w:val="24"/>
          <w:szCs w:val="24"/>
        </w:rPr>
        <w:t>的需要，也能够避免库存过量带来的库存成本过高的问题，既能满足市场需求，也能避免生产产品积压严重</w:t>
      </w:r>
      <w:r w:rsidR="005530A0">
        <w:rPr>
          <w:rFonts w:ascii="宋体" w:eastAsia="宋体" w:hAnsi="宋体" w:hint="eastAsia"/>
          <w:sz w:val="24"/>
          <w:szCs w:val="24"/>
        </w:rPr>
        <w:t>。如何使用最低的库存成本保障企业供需平衡、实现企业经济效益是当今企业库存管理最重要的目标。</w:t>
      </w:r>
    </w:p>
    <w:p w14:paraId="44CD8181" w14:textId="4EE921CA" w:rsidR="005530A0" w:rsidRDefault="005530A0" w:rsidP="002222C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在世界经济发展的带动下，我国制造业企业迅速发展是我国成为制造业大国，我国制造业企业在很多领域已经居于世界领先地位，但随着经济全球化的发展，产品更迭迅速，产品生命周期越来越短，市场竞争日益激烈，我国制造业企业</w:t>
      </w:r>
      <w:r w:rsidRPr="00CC634F">
        <w:rPr>
          <w:rFonts w:ascii="宋体" w:eastAsia="宋体" w:hAnsi="宋体" w:hint="eastAsia"/>
          <w:b/>
          <w:bCs/>
          <w:sz w:val="24"/>
          <w:szCs w:val="24"/>
        </w:rPr>
        <w:t>库存管理</w:t>
      </w:r>
      <w:r>
        <w:rPr>
          <w:rFonts w:ascii="宋体" w:eastAsia="宋体" w:hAnsi="宋体" w:hint="eastAsia"/>
          <w:sz w:val="24"/>
          <w:szCs w:val="24"/>
        </w:rPr>
        <w:t>方面主要存在着以下</w:t>
      </w:r>
      <w:r w:rsidRPr="00CC634F">
        <w:rPr>
          <w:rFonts w:ascii="宋体" w:eastAsia="宋体" w:hAnsi="宋体" w:hint="eastAsia"/>
          <w:b/>
          <w:bCs/>
          <w:sz w:val="24"/>
          <w:szCs w:val="24"/>
        </w:rPr>
        <w:t>问题</w:t>
      </w:r>
      <w:r>
        <w:rPr>
          <w:rFonts w:ascii="宋体" w:eastAsia="宋体" w:hAnsi="宋体" w:hint="eastAsia"/>
          <w:sz w:val="24"/>
          <w:szCs w:val="24"/>
        </w:rPr>
        <w:t>：</w:t>
      </w:r>
    </w:p>
    <w:p w14:paraId="5259D1D1" w14:textId="0365160B" w:rsidR="005530A0" w:rsidRDefault="005530A0" w:rsidP="002222C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一是库存管理意识薄弱，企业管理层普遍重视产量与销售量，</w:t>
      </w:r>
      <w:r w:rsidR="004B7923">
        <w:rPr>
          <w:rFonts w:ascii="宋体" w:eastAsia="宋体" w:hAnsi="宋体" w:hint="eastAsia"/>
          <w:sz w:val="24"/>
          <w:szCs w:val="24"/>
        </w:rPr>
        <w:t>而不注重产量是否合理，一方面，如果一个企业产品库存过多必然会导致产品跟不上市场变化，带来滞销风险，另一方面，库存太多占有巨大的库存成本且企业资源无法变现，不利于企业在自由竞争中取得优势。</w:t>
      </w:r>
    </w:p>
    <w:p w14:paraId="2AF2003D" w14:textId="3CD1BE2E" w:rsidR="004B7923" w:rsidRDefault="004B7923" w:rsidP="002222C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二是信息技术应用不到位，供应链管理不健全。对于大部分制造业企业来说，他们的员工综合素质低、年龄大，不会使用先进的技术水平共享信息，其</w:t>
      </w:r>
      <w:r>
        <w:rPr>
          <w:rFonts w:ascii="宋体" w:eastAsia="宋体" w:hAnsi="宋体" w:hint="eastAsia"/>
          <w:sz w:val="24"/>
          <w:szCs w:val="24"/>
        </w:rPr>
        <w:lastRenderedPageBreak/>
        <w:t>他部门也无法及时获得有效的库存信息，企业内外部信息共享不及时导致企业部门无法有效协作。</w:t>
      </w:r>
    </w:p>
    <w:p w14:paraId="3C64BC29" w14:textId="0A9CE828" w:rsidR="004B7923" w:rsidRDefault="004B7923" w:rsidP="002222C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三是库存管理制度不完善。库存管理制度不完善一方面会导致原材料采购部门以低价购买低于采购材料质量要求的材料，从中赚取差价，</w:t>
      </w:r>
      <w:r w:rsidR="0038600F">
        <w:rPr>
          <w:rFonts w:ascii="宋体" w:eastAsia="宋体" w:hAnsi="宋体" w:hint="eastAsia"/>
          <w:sz w:val="24"/>
          <w:szCs w:val="24"/>
        </w:rPr>
        <w:t>进而导致企业成本上升严重甚至生产出质量低下的产品；另一方面，产成品入库流程不规范也会导致存货损失风险加大。</w:t>
      </w:r>
    </w:p>
    <w:p w14:paraId="1F4914A9" w14:textId="7A7BBA51" w:rsidR="0038600F" w:rsidRDefault="0038600F" w:rsidP="0038600F">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面对着发展大环境及越来越难以发展等方面的问题，制造业企业最需要做的是对应于存在的问题从以下几个方面来</w:t>
      </w:r>
      <w:r w:rsidRPr="00CC634F">
        <w:rPr>
          <w:rFonts w:ascii="宋体" w:eastAsia="宋体" w:hAnsi="宋体" w:hint="eastAsia"/>
          <w:b/>
          <w:bCs/>
          <w:sz w:val="24"/>
          <w:szCs w:val="24"/>
        </w:rPr>
        <w:t>对库存管理进行优化</w:t>
      </w:r>
      <w:r>
        <w:rPr>
          <w:rFonts w:ascii="宋体" w:eastAsia="宋体" w:hAnsi="宋体" w:hint="eastAsia"/>
          <w:sz w:val="24"/>
          <w:szCs w:val="24"/>
        </w:rPr>
        <w:t>：</w:t>
      </w:r>
    </w:p>
    <w:p w14:paraId="1AAF48A9" w14:textId="1FC90023" w:rsidR="0038600F" w:rsidRDefault="0038600F" w:rsidP="0038600F">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一是转变企业库存</w:t>
      </w:r>
      <w:r w:rsidRPr="00CC634F">
        <w:rPr>
          <w:rFonts w:ascii="宋体" w:eastAsia="宋体" w:hAnsi="宋体" w:hint="eastAsia"/>
          <w:b/>
          <w:bCs/>
          <w:sz w:val="24"/>
          <w:szCs w:val="24"/>
        </w:rPr>
        <w:t>管理理念</w:t>
      </w:r>
      <w:r>
        <w:rPr>
          <w:rFonts w:ascii="宋体" w:eastAsia="宋体" w:hAnsi="宋体" w:hint="eastAsia"/>
          <w:sz w:val="24"/>
          <w:szCs w:val="24"/>
        </w:rPr>
        <w:t>。企业管理层需要充分认识到库存管理对企业长远发展的重要性，带头学习并参与到库存管理过程，引入先进的库存管理理念，使库存管理由占有型向控制型模式转变</w:t>
      </w:r>
      <w:r w:rsidR="00AF0709">
        <w:rPr>
          <w:rFonts w:ascii="宋体" w:eastAsia="宋体" w:hAnsi="宋体" w:hint="eastAsia"/>
          <w:sz w:val="24"/>
          <w:szCs w:val="24"/>
        </w:rPr>
        <w:t>，同时设置库存水平控制战略，以确保不会缺货或库存过多</w:t>
      </w:r>
      <w:r>
        <w:rPr>
          <w:rFonts w:ascii="宋体" w:eastAsia="宋体" w:hAnsi="宋体" w:hint="eastAsia"/>
          <w:sz w:val="24"/>
          <w:szCs w:val="24"/>
        </w:rPr>
        <w:t>。</w:t>
      </w:r>
    </w:p>
    <w:p w14:paraId="2F24133D" w14:textId="76290CD1" w:rsidR="0038600F" w:rsidRDefault="0038600F" w:rsidP="0038600F">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二是充分利用</w:t>
      </w:r>
      <w:r w:rsidRPr="00CC634F">
        <w:rPr>
          <w:rFonts w:ascii="宋体" w:eastAsia="宋体" w:hAnsi="宋体" w:hint="eastAsia"/>
          <w:b/>
          <w:bCs/>
          <w:sz w:val="24"/>
          <w:szCs w:val="24"/>
        </w:rPr>
        <w:t>信息技术</w:t>
      </w:r>
      <w:r>
        <w:rPr>
          <w:rFonts w:ascii="宋体" w:eastAsia="宋体" w:hAnsi="宋体" w:hint="eastAsia"/>
          <w:sz w:val="24"/>
          <w:szCs w:val="24"/>
        </w:rPr>
        <w:t>，实现内外部供应链优化。</w:t>
      </w:r>
      <w:r w:rsidR="00EF649F">
        <w:rPr>
          <w:rFonts w:ascii="宋体" w:eastAsia="宋体" w:hAnsi="宋体" w:hint="eastAsia"/>
          <w:sz w:val="24"/>
          <w:szCs w:val="24"/>
        </w:rPr>
        <w:t>提高企业成员的综合素质，督促其加强技能学习，提升业务水平，利用信息技术水平实现</w:t>
      </w:r>
      <w:r>
        <w:rPr>
          <w:rFonts w:ascii="宋体" w:eastAsia="宋体" w:hAnsi="宋体" w:hint="eastAsia"/>
          <w:sz w:val="24"/>
          <w:szCs w:val="24"/>
        </w:rPr>
        <w:t>内部供应链优化可以加强企业部门之间的有效信息共享，</w:t>
      </w:r>
      <w:r w:rsidR="002F1C73">
        <w:rPr>
          <w:rFonts w:ascii="宋体" w:eastAsia="宋体" w:hAnsi="宋体" w:hint="eastAsia"/>
          <w:sz w:val="24"/>
          <w:szCs w:val="24"/>
        </w:rPr>
        <w:t>提高库存管理效率，</w:t>
      </w:r>
      <w:r>
        <w:rPr>
          <w:rFonts w:ascii="宋体" w:eastAsia="宋体" w:hAnsi="宋体" w:hint="eastAsia"/>
          <w:sz w:val="24"/>
          <w:szCs w:val="24"/>
        </w:rPr>
        <w:t>减少资本损耗，外部供应链优化</w:t>
      </w:r>
      <w:r w:rsidR="00EF649F">
        <w:rPr>
          <w:rFonts w:ascii="宋体" w:eastAsia="宋体" w:hAnsi="宋体" w:hint="eastAsia"/>
          <w:sz w:val="24"/>
          <w:szCs w:val="24"/>
        </w:rPr>
        <w:t>可以加强企业与外部的沟通，了解并择优选择供应商，与供应商建立长期合作共赢的伙伴关系，减低库存成本，提高订单的准确性。</w:t>
      </w:r>
    </w:p>
    <w:p w14:paraId="72275157" w14:textId="41FB53D9" w:rsidR="00EF649F" w:rsidRDefault="00EF649F" w:rsidP="0038600F">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三是</w:t>
      </w:r>
      <w:r w:rsidR="0020780D">
        <w:rPr>
          <w:rFonts w:ascii="宋体" w:eastAsia="宋体" w:hAnsi="宋体" w:hint="eastAsia"/>
          <w:sz w:val="24"/>
          <w:szCs w:val="24"/>
        </w:rPr>
        <w:t>完善</w:t>
      </w:r>
      <w:r w:rsidR="0020780D" w:rsidRPr="00CC634F">
        <w:rPr>
          <w:rFonts w:ascii="宋体" w:eastAsia="宋体" w:hAnsi="宋体" w:hint="eastAsia"/>
          <w:b/>
          <w:bCs/>
          <w:sz w:val="24"/>
          <w:szCs w:val="24"/>
        </w:rPr>
        <w:t>库存管理制度</w:t>
      </w:r>
      <w:r w:rsidR="0020780D">
        <w:rPr>
          <w:rFonts w:ascii="宋体" w:eastAsia="宋体" w:hAnsi="宋体" w:hint="eastAsia"/>
          <w:sz w:val="24"/>
          <w:szCs w:val="24"/>
        </w:rPr>
        <w:t>。首先，库存管理不相关岗位应分离并明晰其各自的职责，完善库存管理岗位以杜绝库存管理漏洞；其次，存货入库要有完整记录，存货出库要遵守先进先出原则，定期对库存存货进行盘点，及时掌握库存存货的有效信息。</w:t>
      </w:r>
    </w:p>
    <w:p w14:paraId="7CF7AE41" w14:textId="2BB7127C" w:rsidR="0020780D" w:rsidRDefault="0020780D" w:rsidP="0020780D">
      <w:pPr>
        <w:spacing w:line="360" w:lineRule="auto"/>
        <w:ind w:firstLineChars="200" w:firstLine="480"/>
        <w:jc w:val="left"/>
        <w:rPr>
          <w:rFonts w:ascii="宋体" w:eastAsia="宋体" w:hAnsi="宋体"/>
          <w:sz w:val="24"/>
          <w:szCs w:val="24"/>
        </w:rPr>
      </w:pPr>
      <w:r w:rsidRPr="0020780D">
        <w:rPr>
          <w:rFonts w:ascii="宋体" w:eastAsia="宋体" w:hAnsi="宋体" w:hint="eastAsia"/>
          <w:sz w:val="24"/>
          <w:szCs w:val="24"/>
        </w:rPr>
        <w:t>制</w:t>
      </w:r>
      <w:r>
        <w:rPr>
          <w:rFonts w:ascii="宋体" w:eastAsia="宋体" w:hAnsi="宋体" w:hint="eastAsia"/>
          <w:sz w:val="24"/>
          <w:szCs w:val="24"/>
        </w:rPr>
        <w:t>造</w:t>
      </w:r>
      <w:r w:rsidRPr="0020780D">
        <w:rPr>
          <w:rFonts w:ascii="宋体" w:eastAsia="宋体" w:hAnsi="宋体" w:hint="eastAsia"/>
          <w:sz w:val="24"/>
          <w:szCs w:val="24"/>
        </w:rPr>
        <w:t>业是我国经济发展的关键力量</w:t>
      </w:r>
      <w:r w:rsidRPr="0020780D">
        <w:rPr>
          <w:rFonts w:ascii="宋体" w:eastAsia="宋体" w:hAnsi="宋体"/>
          <w:sz w:val="24"/>
          <w:szCs w:val="24"/>
        </w:rPr>
        <w:t>，</w:t>
      </w:r>
      <w:r w:rsidRPr="0020780D">
        <w:rPr>
          <w:rFonts w:ascii="宋体" w:eastAsia="宋体" w:hAnsi="宋体" w:hint="eastAsia"/>
          <w:sz w:val="24"/>
          <w:szCs w:val="24"/>
        </w:rPr>
        <w:t>制造</w:t>
      </w:r>
      <w:r>
        <w:rPr>
          <w:rFonts w:ascii="宋体" w:eastAsia="宋体" w:hAnsi="宋体" w:hint="eastAsia"/>
          <w:sz w:val="24"/>
          <w:szCs w:val="24"/>
        </w:rPr>
        <w:t>业</w:t>
      </w:r>
      <w:r w:rsidRPr="0020780D">
        <w:rPr>
          <w:rFonts w:ascii="宋体" w:eastAsia="宋体" w:hAnsi="宋体" w:hint="eastAsia"/>
          <w:sz w:val="24"/>
          <w:szCs w:val="24"/>
        </w:rPr>
        <w:t>企业只有不断转变库存管理理念</w:t>
      </w:r>
      <w:r w:rsidRPr="0020780D">
        <w:rPr>
          <w:rFonts w:ascii="宋体" w:eastAsia="宋体" w:hAnsi="宋体"/>
          <w:sz w:val="24"/>
          <w:szCs w:val="24"/>
        </w:rPr>
        <w:t>，</w:t>
      </w:r>
      <w:r w:rsidRPr="0020780D">
        <w:rPr>
          <w:rFonts w:ascii="宋体" w:eastAsia="宋体" w:hAnsi="宋体" w:hint="eastAsia"/>
          <w:sz w:val="24"/>
          <w:szCs w:val="24"/>
        </w:rPr>
        <w:t>采取先进技术手段加强库存管理</w:t>
      </w:r>
      <w:r w:rsidRPr="0020780D">
        <w:rPr>
          <w:rFonts w:ascii="宋体" w:eastAsia="宋体" w:hAnsi="宋体"/>
          <w:sz w:val="24"/>
          <w:szCs w:val="24"/>
        </w:rPr>
        <w:t>，</w:t>
      </w:r>
      <w:r w:rsidRPr="0020780D">
        <w:rPr>
          <w:rFonts w:ascii="宋体" w:eastAsia="宋体" w:hAnsi="宋体" w:hint="eastAsia"/>
          <w:sz w:val="24"/>
          <w:szCs w:val="24"/>
        </w:rPr>
        <w:t>做好基础工作</w:t>
      </w:r>
      <w:r w:rsidRPr="0020780D">
        <w:rPr>
          <w:rFonts w:ascii="宋体" w:eastAsia="宋体" w:hAnsi="宋体"/>
          <w:sz w:val="24"/>
          <w:szCs w:val="24"/>
        </w:rPr>
        <w:t>，</w:t>
      </w:r>
      <w:r w:rsidRPr="0020780D">
        <w:rPr>
          <w:rFonts w:ascii="宋体" w:eastAsia="宋体" w:hAnsi="宋体" w:hint="eastAsia"/>
          <w:sz w:val="24"/>
          <w:szCs w:val="24"/>
        </w:rPr>
        <w:t>提升管理水平</w:t>
      </w:r>
      <w:r w:rsidRPr="0020780D">
        <w:rPr>
          <w:rFonts w:ascii="宋体" w:eastAsia="宋体" w:hAnsi="宋体"/>
          <w:sz w:val="24"/>
          <w:szCs w:val="24"/>
        </w:rPr>
        <w:t>，</w:t>
      </w:r>
      <w:r w:rsidRPr="0020780D">
        <w:rPr>
          <w:rFonts w:ascii="宋体" w:eastAsia="宋体" w:hAnsi="宋体" w:hint="eastAsia"/>
          <w:sz w:val="24"/>
          <w:szCs w:val="24"/>
        </w:rPr>
        <w:t>紧跟时代</w:t>
      </w:r>
      <w:r>
        <w:rPr>
          <w:rFonts w:ascii="宋体" w:eastAsia="宋体" w:hAnsi="宋体" w:hint="eastAsia"/>
          <w:sz w:val="24"/>
          <w:szCs w:val="24"/>
        </w:rPr>
        <w:t>的</w:t>
      </w:r>
      <w:r w:rsidRPr="0020780D">
        <w:rPr>
          <w:rFonts w:ascii="宋体" w:eastAsia="宋体" w:hAnsi="宋体" w:hint="eastAsia"/>
          <w:sz w:val="24"/>
          <w:szCs w:val="24"/>
        </w:rPr>
        <w:t>步伐</w:t>
      </w:r>
      <w:r w:rsidRPr="0020780D">
        <w:rPr>
          <w:rFonts w:ascii="宋体" w:eastAsia="宋体" w:hAnsi="宋体"/>
          <w:sz w:val="24"/>
          <w:szCs w:val="24"/>
        </w:rPr>
        <w:t>，</w:t>
      </w:r>
      <w:r w:rsidRPr="0020780D">
        <w:rPr>
          <w:rFonts w:ascii="宋体" w:eastAsia="宋体" w:hAnsi="宋体" w:hint="eastAsia"/>
          <w:sz w:val="24"/>
          <w:szCs w:val="24"/>
        </w:rPr>
        <w:t>才能减少不必要的资源浪费</w:t>
      </w:r>
      <w:r w:rsidRPr="0020780D">
        <w:rPr>
          <w:rFonts w:ascii="宋体" w:eastAsia="宋体" w:hAnsi="宋体"/>
          <w:sz w:val="24"/>
          <w:szCs w:val="24"/>
        </w:rPr>
        <w:t>，</w:t>
      </w:r>
      <w:r w:rsidRPr="0020780D">
        <w:rPr>
          <w:rFonts w:ascii="宋体" w:eastAsia="宋体" w:hAnsi="宋体" w:hint="eastAsia"/>
          <w:sz w:val="24"/>
          <w:szCs w:val="24"/>
        </w:rPr>
        <w:t>降低成本</w:t>
      </w:r>
      <w:r w:rsidRPr="0020780D">
        <w:rPr>
          <w:rFonts w:ascii="宋体" w:eastAsia="宋体" w:hAnsi="宋体"/>
          <w:sz w:val="24"/>
          <w:szCs w:val="24"/>
        </w:rPr>
        <w:t>，</w:t>
      </w:r>
      <w:r w:rsidRPr="0020780D">
        <w:rPr>
          <w:rFonts w:ascii="宋体" w:eastAsia="宋体" w:hAnsi="宋体" w:hint="eastAsia"/>
          <w:sz w:val="24"/>
          <w:szCs w:val="24"/>
        </w:rPr>
        <w:t>在市场中取得价格优势</w:t>
      </w:r>
      <w:r w:rsidRPr="0020780D">
        <w:rPr>
          <w:rFonts w:ascii="宋体" w:eastAsia="宋体" w:hAnsi="宋体"/>
          <w:sz w:val="24"/>
          <w:szCs w:val="24"/>
        </w:rPr>
        <w:t>，</w:t>
      </w:r>
      <w:r w:rsidRPr="0020780D">
        <w:rPr>
          <w:rFonts w:ascii="宋体" w:eastAsia="宋体" w:hAnsi="宋体" w:hint="eastAsia"/>
          <w:sz w:val="24"/>
          <w:szCs w:val="24"/>
        </w:rPr>
        <w:t>从而提高企业在市场中的竞争地位</w:t>
      </w:r>
      <w:r w:rsidRPr="0020780D">
        <w:rPr>
          <w:rFonts w:ascii="宋体" w:eastAsia="宋体" w:hAnsi="宋体"/>
          <w:sz w:val="24"/>
          <w:szCs w:val="24"/>
        </w:rPr>
        <w:t>。</w:t>
      </w:r>
    </w:p>
    <w:p w14:paraId="052C39B9" w14:textId="77777777" w:rsidR="0020780D" w:rsidRDefault="0020780D" w:rsidP="0020780D">
      <w:pPr>
        <w:spacing w:line="360" w:lineRule="auto"/>
        <w:ind w:firstLineChars="200" w:firstLine="480"/>
        <w:jc w:val="left"/>
        <w:rPr>
          <w:rFonts w:ascii="宋体" w:eastAsia="宋体" w:hAnsi="宋体"/>
          <w:sz w:val="24"/>
          <w:szCs w:val="24"/>
        </w:rPr>
      </w:pPr>
    </w:p>
    <w:p w14:paraId="36C2DBB4" w14:textId="42C35F5C" w:rsidR="0020780D" w:rsidRDefault="004C25C7" w:rsidP="004C25C7">
      <w:pPr>
        <w:spacing w:line="360" w:lineRule="auto"/>
        <w:jc w:val="left"/>
        <w:rPr>
          <w:rFonts w:ascii="宋体" w:eastAsia="宋体" w:hAnsi="宋体"/>
          <w:sz w:val="24"/>
          <w:szCs w:val="24"/>
        </w:rPr>
      </w:pPr>
      <w:r>
        <w:rPr>
          <w:rFonts w:ascii="微软雅黑" w:eastAsia="微软雅黑" w:hAnsi="微软雅黑" w:hint="eastAsia"/>
          <w:color w:val="666666"/>
          <w:sz w:val="18"/>
          <w:szCs w:val="18"/>
          <w:shd w:val="clear" w:color="auto" w:fill="FFFFFF"/>
        </w:rPr>
        <w:t>[1]丁小晏.浅谈制造企业库存管理优化[J].中国集体经济,2022,(26):53-55.</w:t>
      </w:r>
    </w:p>
    <w:p w14:paraId="1F10FFB0" w14:textId="77777777" w:rsidR="0020780D" w:rsidRDefault="0020780D" w:rsidP="0020780D">
      <w:pPr>
        <w:spacing w:line="360" w:lineRule="auto"/>
        <w:ind w:firstLineChars="200" w:firstLine="480"/>
        <w:jc w:val="left"/>
        <w:rPr>
          <w:rFonts w:ascii="宋体" w:eastAsia="宋体" w:hAnsi="宋体"/>
          <w:sz w:val="24"/>
          <w:szCs w:val="24"/>
        </w:rPr>
      </w:pPr>
    </w:p>
    <w:p w14:paraId="2B97C44B" w14:textId="77777777" w:rsidR="00EE2B86" w:rsidRDefault="00EE2B86">
      <w:pPr>
        <w:widowControl/>
        <w:jc w:val="left"/>
        <w:rPr>
          <w:rFonts w:ascii="宋体" w:eastAsia="宋体" w:hAnsi="宋体"/>
          <w:b/>
          <w:bCs/>
          <w:sz w:val="32"/>
          <w:szCs w:val="32"/>
        </w:rPr>
      </w:pPr>
      <w:r>
        <w:rPr>
          <w:rFonts w:ascii="宋体" w:eastAsia="宋体" w:hAnsi="宋体"/>
          <w:b/>
          <w:bCs/>
          <w:sz w:val="32"/>
          <w:szCs w:val="32"/>
        </w:rPr>
        <w:br w:type="page"/>
      </w:r>
    </w:p>
    <w:p w14:paraId="7AEEE1CF" w14:textId="056FC2FB" w:rsidR="0020780D" w:rsidRDefault="0020780D" w:rsidP="0020780D">
      <w:pPr>
        <w:spacing w:line="360" w:lineRule="auto"/>
        <w:ind w:firstLineChars="200" w:firstLine="643"/>
        <w:jc w:val="center"/>
        <w:rPr>
          <w:rFonts w:ascii="宋体" w:eastAsia="宋体" w:hAnsi="宋体"/>
          <w:b/>
          <w:bCs/>
          <w:sz w:val="32"/>
          <w:szCs w:val="32"/>
        </w:rPr>
      </w:pPr>
      <w:r>
        <w:rPr>
          <w:rFonts w:ascii="宋体" w:eastAsia="宋体" w:hAnsi="宋体" w:hint="eastAsia"/>
          <w:b/>
          <w:bCs/>
          <w:sz w:val="32"/>
          <w:szCs w:val="32"/>
        </w:rPr>
        <w:lastRenderedPageBreak/>
        <w:t>（三）</w:t>
      </w:r>
    </w:p>
    <w:p w14:paraId="43F4B688" w14:textId="1E0B4DDC" w:rsidR="00107A18" w:rsidRPr="0020780D" w:rsidRDefault="00107A18" w:rsidP="00107A18">
      <w:pPr>
        <w:spacing w:line="360" w:lineRule="auto"/>
        <w:ind w:firstLineChars="200" w:firstLine="562"/>
        <w:jc w:val="center"/>
        <w:rPr>
          <w:rFonts w:ascii="宋体" w:eastAsia="宋体" w:hAnsi="宋体"/>
          <w:b/>
          <w:bCs/>
          <w:sz w:val="28"/>
          <w:szCs w:val="28"/>
        </w:rPr>
      </w:pPr>
      <w:r>
        <w:rPr>
          <w:rFonts w:ascii="宋体" w:eastAsia="宋体" w:hAnsi="宋体" w:hint="eastAsia"/>
          <w:b/>
          <w:bCs/>
          <w:sz w:val="28"/>
          <w:szCs w:val="28"/>
        </w:rPr>
        <w:t>V</w:t>
      </w:r>
      <w:r>
        <w:rPr>
          <w:rFonts w:ascii="宋体" w:eastAsia="宋体" w:hAnsi="宋体"/>
          <w:b/>
          <w:bCs/>
          <w:sz w:val="28"/>
          <w:szCs w:val="28"/>
        </w:rPr>
        <w:t>MI</w:t>
      </w:r>
      <w:r>
        <w:rPr>
          <w:rFonts w:ascii="宋体" w:eastAsia="宋体" w:hAnsi="宋体" w:hint="eastAsia"/>
          <w:b/>
          <w:bCs/>
          <w:sz w:val="28"/>
          <w:szCs w:val="28"/>
        </w:rPr>
        <w:t>在轨道交通行业中的应用——以无锡地铁为例</w:t>
      </w:r>
    </w:p>
    <w:p w14:paraId="6EA36062" w14:textId="31E3EEEC" w:rsidR="00EC1E25" w:rsidRDefault="00107A18" w:rsidP="00107A18">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轨道交通行业库存物资涉及轨道、通信、电力等17个专业，</w:t>
      </w:r>
      <w:r w:rsidR="00802E68">
        <w:rPr>
          <w:rFonts w:ascii="宋体" w:eastAsia="宋体" w:hAnsi="宋体" w:hint="eastAsia"/>
          <w:sz w:val="24"/>
          <w:szCs w:val="24"/>
        </w:rPr>
        <w:t>与一般库存管理相比，所涉及到的采购物资的种类较多、金额较大，对库存物资管理工作而言是一个巨大的挑战。库存是一种平衡机制，不可避免一些风险问题，如闲置物资增加运营成本负担、一种浪费产生另一种新的浪费及物资需求数据与实际存在偏差等等。</w:t>
      </w:r>
    </w:p>
    <w:p w14:paraId="1098B58C" w14:textId="4068C6AE" w:rsidR="00802E68" w:rsidRDefault="00802E68" w:rsidP="00107A18">
      <w:pPr>
        <w:spacing w:line="360" w:lineRule="auto"/>
        <w:ind w:firstLineChars="200" w:firstLine="482"/>
        <w:jc w:val="left"/>
        <w:rPr>
          <w:rFonts w:ascii="宋体" w:eastAsia="宋体" w:hAnsi="宋体"/>
          <w:sz w:val="24"/>
          <w:szCs w:val="24"/>
        </w:rPr>
      </w:pPr>
      <w:r w:rsidRPr="00CC634F">
        <w:rPr>
          <w:rFonts w:ascii="宋体" w:eastAsia="宋体" w:hAnsi="宋体" w:hint="eastAsia"/>
          <w:b/>
          <w:bCs/>
          <w:sz w:val="24"/>
          <w:szCs w:val="24"/>
        </w:rPr>
        <w:t>V</w:t>
      </w:r>
      <w:r w:rsidRPr="00CC634F">
        <w:rPr>
          <w:rFonts w:ascii="宋体" w:eastAsia="宋体" w:hAnsi="宋体"/>
          <w:b/>
          <w:bCs/>
          <w:sz w:val="24"/>
          <w:szCs w:val="24"/>
        </w:rPr>
        <w:t>MI</w:t>
      </w:r>
      <w:r w:rsidRPr="00CC634F">
        <w:rPr>
          <w:rFonts w:ascii="宋体" w:eastAsia="宋体" w:hAnsi="宋体" w:hint="eastAsia"/>
          <w:b/>
          <w:bCs/>
          <w:sz w:val="24"/>
          <w:szCs w:val="24"/>
        </w:rPr>
        <w:t>——供应商管理库存</w:t>
      </w:r>
      <w:r>
        <w:rPr>
          <w:rFonts w:ascii="宋体" w:eastAsia="宋体" w:hAnsi="宋体" w:hint="eastAsia"/>
          <w:sz w:val="24"/>
          <w:szCs w:val="24"/>
        </w:rPr>
        <w:t>是一种供应链合作性策略。V</w:t>
      </w:r>
      <w:r>
        <w:rPr>
          <w:rFonts w:ascii="宋体" w:eastAsia="宋体" w:hAnsi="宋体"/>
          <w:sz w:val="24"/>
          <w:szCs w:val="24"/>
        </w:rPr>
        <w:t>MI</w:t>
      </w:r>
      <w:r>
        <w:rPr>
          <w:rFonts w:ascii="宋体" w:eastAsia="宋体" w:hAnsi="宋体" w:hint="eastAsia"/>
          <w:sz w:val="24"/>
          <w:szCs w:val="24"/>
        </w:rPr>
        <w:t>策略实施于轨道交通行业库存管理可以简化供应链流程，通过统一整合多家供应商物资的运输与存储，可实时获取轨道交通企业的动态存取和即时调配；可以提高轨道交通企业库存物资周转率，</w:t>
      </w:r>
      <w:proofErr w:type="spellStart"/>
      <w:r>
        <w:rPr>
          <w:rFonts w:ascii="宋体" w:eastAsia="宋体" w:hAnsi="宋体" w:hint="eastAsia"/>
          <w:sz w:val="24"/>
          <w:szCs w:val="24"/>
        </w:rPr>
        <w:t>V</w:t>
      </w:r>
      <w:r>
        <w:rPr>
          <w:rFonts w:ascii="宋体" w:eastAsia="宋体" w:hAnsi="宋体"/>
          <w:sz w:val="24"/>
          <w:szCs w:val="24"/>
        </w:rPr>
        <w:t>MI</w:t>
      </w:r>
      <w:proofErr w:type="spellEnd"/>
      <w:r>
        <w:rPr>
          <w:rFonts w:ascii="宋体" w:eastAsia="宋体" w:hAnsi="宋体" w:hint="eastAsia"/>
          <w:sz w:val="24"/>
          <w:szCs w:val="24"/>
        </w:rPr>
        <w:t>模式下的物资供应，当月送货，当月入库，当月出库，做到即入随出，拉高库存物资周转率；可以减少国有资产的损耗，引入V</w:t>
      </w:r>
      <w:r>
        <w:rPr>
          <w:rFonts w:ascii="宋体" w:eastAsia="宋体" w:hAnsi="宋体"/>
          <w:sz w:val="24"/>
          <w:szCs w:val="24"/>
        </w:rPr>
        <w:t>MI</w:t>
      </w:r>
      <w:r>
        <w:rPr>
          <w:rFonts w:ascii="宋体" w:eastAsia="宋体" w:hAnsi="宋体" w:hint="eastAsia"/>
          <w:sz w:val="24"/>
          <w:szCs w:val="24"/>
        </w:rPr>
        <w:t>理念使得供应商直接与使用部门对接，及时消耗即将到质保期的物资，有效地解决</w:t>
      </w:r>
      <w:r w:rsidR="000944A1">
        <w:rPr>
          <w:rFonts w:ascii="宋体" w:eastAsia="宋体" w:hAnsi="宋体" w:hint="eastAsia"/>
          <w:sz w:val="24"/>
          <w:szCs w:val="24"/>
        </w:rPr>
        <w:t>物资过期问题，减少国有资产的损耗。</w:t>
      </w:r>
    </w:p>
    <w:p w14:paraId="649061E1" w14:textId="6F0066AC" w:rsidR="000944A1" w:rsidRDefault="000944A1" w:rsidP="00107A18">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2018年无锡地铁首次在运营分公司生产作业中推行V</w:t>
      </w:r>
      <w:r>
        <w:rPr>
          <w:rFonts w:ascii="宋体" w:eastAsia="宋体" w:hAnsi="宋体"/>
          <w:sz w:val="24"/>
          <w:szCs w:val="24"/>
        </w:rPr>
        <w:t>MI</w:t>
      </w:r>
      <w:r>
        <w:rPr>
          <w:rFonts w:ascii="宋体" w:eastAsia="宋体" w:hAnsi="宋体" w:hint="eastAsia"/>
          <w:sz w:val="24"/>
          <w:szCs w:val="24"/>
        </w:rPr>
        <w:t>模式，既保证了生产物资的及时供应、实现了零库存管理，也在与供应商之间建立命运共同体方面起到了很好的促进作用。</w:t>
      </w:r>
      <w:r w:rsidRPr="00CC634F">
        <w:rPr>
          <w:rFonts w:ascii="宋体" w:eastAsia="宋体" w:hAnsi="宋体" w:hint="eastAsia"/>
          <w:b/>
          <w:bCs/>
          <w:sz w:val="24"/>
          <w:szCs w:val="24"/>
        </w:rPr>
        <w:t>无锡地铁库存管理应用V</w:t>
      </w:r>
      <w:r w:rsidRPr="00CC634F">
        <w:rPr>
          <w:rFonts w:ascii="宋体" w:eastAsia="宋体" w:hAnsi="宋体"/>
          <w:b/>
          <w:bCs/>
          <w:sz w:val="24"/>
          <w:szCs w:val="24"/>
        </w:rPr>
        <w:t>MI</w:t>
      </w:r>
      <w:r w:rsidRPr="00CC634F">
        <w:rPr>
          <w:rFonts w:ascii="宋体" w:eastAsia="宋体" w:hAnsi="宋体" w:hint="eastAsia"/>
          <w:b/>
          <w:bCs/>
          <w:sz w:val="24"/>
          <w:szCs w:val="24"/>
        </w:rPr>
        <w:t>理念</w:t>
      </w:r>
      <w:r>
        <w:rPr>
          <w:rFonts w:ascii="宋体" w:eastAsia="宋体" w:hAnsi="宋体" w:hint="eastAsia"/>
          <w:sz w:val="24"/>
          <w:szCs w:val="24"/>
        </w:rPr>
        <w:t>主要体现在以下方面：</w:t>
      </w:r>
    </w:p>
    <w:p w14:paraId="689E8F74" w14:textId="752C8873" w:rsidR="000944A1" w:rsidRDefault="000944A1" w:rsidP="000944A1">
      <w:pPr>
        <w:pStyle w:val="a3"/>
        <w:numPr>
          <w:ilvl w:val="0"/>
          <w:numId w:val="2"/>
        </w:numPr>
        <w:spacing w:line="360" w:lineRule="auto"/>
        <w:ind w:firstLineChars="0"/>
        <w:jc w:val="left"/>
        <w:rPr>
          <w:rFonts w:ascii="宋体" w:eastAsia="宋体" w:hAnsi="宋体"/>
          <w:sz w:val="24"/>
          <w:szCs w:val="24"/>
        </w:rPr>
      </w:pPr>
      <w:r w:rsidRPr="000944A1">
        <w:rPr>
          <w:rFonts w:ascii="宋体" w:eastAsia="宋体" w:hAnsi="宋体" w:hint="eastAsia"/>
          <w:sz w:val="24"/>
          <w:szCs w:val="24"/>
        </w:rPr>
        <w:t>寻求合理的仓储模式</w:t>
      </w:r>
    </w:p>
    <w:p w14:paraId="01BB160E" w14:textId="77777777" w:rsidR="004C4530" w:rsidRDefault="000944A1" w:rsidP="000944A1">
      <w:pPr>
        <w:spacing w:line="360" w:lineRule="auto"/>
        <w:ind w:firstLineChars="200" w:firstLine="480"/>
        <w:jc w:val="left"/>
        <w:rPr>
          <w:rFonts w:ascii="宋体" w:eastAsia="宋体" w:hAnsi="宋体"/>
          <w:sz w:val="24"/>
          <w:szCs w:val="24"/>
        </w:rPr>
      </w:pPr>
      <w:r w:rsidRPr="000944A1">
        <w:rPr>
          <w:rFonts w:ascii="宋体" w:eastAsia="宋体" w:hAnsi="宋体" w:hint="eastAsia"/>
          <w:sz w:val="24"/>
          <w:szCs w:val="24"/>
        </w:rPr>
        <w:t>在无锡地铁1、2、3号线车辆段建设专业化管理的物流仓储总库，充分</w:t>
      </w:r>
      <w:r>
        <w:rPr>
          <w:rFonts w:ascii="宋体" w:eastAsia="宋体" w:hAnsi="宋体" w:hint="eastAsia"/>
          <w:sz w:val="24"/>
          <w:szCs w:val="24"/>
        </w:rPr>
        <w:t>利</w:t>
      </w:r>
      <w:r w:rsidRPr="000944A1">
        <w:rPr>
          <w:rFonts w:ascii="宋体" w:eastAsia="宋体" w:hAnsi="宋体" w:hint="eastAsia"/>
          <w:sz w:val="24"/>
          <w:szCs w:val="24"/>
        </w:rPr>
        <w:t>用物资信息管理技术的优势，实现线网专业化物流存储管理，运用专业化集中</w:t>
      </w:r>
    </w:p>
    <w:p w14:paraId="4F716AE7" w14:textId="779AD123" w:rsidR="000944A1" w:rsidRPr="000944A1" w:rsidRDefault="000944A1" w:rsidP="004C4530">
      <w:pPr>
        <w:spacing w:line="360" w:lineRule="auto"/>
        <w:jc w:val="left"/>
        <w:rPr>
          <w:rFonts w:ascii="宋体" w:eastAsia="宋体" w:hAnsi="宋体"/>
          <w:sz w:val="24"/>
          <w:szCs w:val="24"/>
        </w:rPr>
      </w:pPr>
      <w:r w:rsidRPr="000944A1">
        <w:rPr>
          <w:rFonts w:ascii="宋体" w:eastAsia="宋体" w:hAnsi="宋体" w:hint="eastAsia"/>
          <w:sz w:val="24"/>
          <w:szCs w:val="24"/>
        </w:rPr>
        <w:t>仓储模式，高效配置各种物资，减少库存积压，此外，对物资总库还定期开展呆滞物资的盘活处理。</w:t>
      </w:r>
    </w:p>
    <w:p w14:paraId="2CAA58EB" w14:textId="597C861C" w:rsidR="004C4530" w:rsidRDefault="000944A1" w:rsidP="004C4530">
      <w:pPr>
        <w:pStyle w:val="a3"/>
        <w:numPr>
          <w:ilvl w:val="0"/>
          <w:numId w:val="2"/>
        </w:numPr>
        <w:spacing w:line="360" w:lineRule="auto"/>
        <w:ind w:firstLineChars="0"/>
        <w:jc w:val="left"/>
        <w:rPr>
          <w:rFonts w:ascii="宋体" w:eastAsia="宋体" w:hAnsi="宋体"/>
          <w:sz w:val="24"/>
          <w:szCs w:val="24"/>
        </w:rPr>
      </w:pPr>
      <w:r>
        <w:rPr>
          <w:rFonts w:ascii="宋体" w:eastAsia="宋体" w:hAnsi="宋体" w:hint="eastAsia"/>
          <w:sz w:val="24"/>
          <w:szCs w:val="24"/>
        </w:rPr>
        <w:t>采用合理采购模式，建构高校供应网</w:t>
      </w:r>
      <w:r w:rsidR="004C4530">
        <w:rPr>
          <w:rFonts w:ascii="宋体" w:eastAsia="宋体" w:hAnsi="宋体" w:hint="eastAsia"/>
          <w:sz w:val="24"/>
          <w:szCs w:val="24"/>
        </w:rPr>
        <w:t>络</w:t>
      </w:r>
    </w:p>
    <w:p w14:paraId="16CE1233" w14:textId="6E3B2B87" w:rsidR="003377AD" w:rsidRPr="004C4530" w:rsidRDefault="004C4530" w:rsidP="003377AD">
      <w:pPr>
        <w:spacing w:line="360" w:lineRule="auto"/>
        <w:ind w:firstLineChars="200" w:firstLine="480"/>
        <w:jc w:val="left"/>
        <w:rPr>
          <w:rFonts w:ascii="宋体" w:eastAsia="宋体" w:hAnsi="宋体"/>
          <w:sz w:val="24"/>
          <w:szCs w:val="24"/>
        </w:rPr>
      </w:pPr>
      <w:r w:rsidRPr="004C4530">
        <w:rPr>
          <w:rFonts w:ascii="宋体" w:eastAsia="宋体" w:hAnsi="宋体" w:hint="eastAsia"/>
          <w:sz w:val="24"/>
          <w:szCs w:val="24"/>
        </w:rPr>
        <w:t>对于重点物资备品备件搭建稳定的采购渠道，建立与供应商的战略合作关系，同时与兄弟公司形成采购联盟，积极寻求开发研究国产化备品备件，以替代进口产品，打破垄断，提高备品备件的采购</w:t>
      </w:r>
      <w:r>
        <w:rPr>
          <w:rFonts w:ascii="宋体" w:eastAsia="宋体" w:hAnsi="宋体" w:hint="eastAsia"/>
          <w:sz w:val="24"/>
          <w:szCs w:val="24"/>
        </w:rPr>
        <w:t>效</w:t>
      </w:r>
      <w:r w:rsidRPr="004C4530">
        <w:rPr>
          <w:rFonts w:ascii="宋体" w:eastAsia="宋体" w:hAnsi="宋体" w:hint="eastAsia"/>
          <w:sz w:val="24"/>
          <w:szCs w:val="24"/>
        </w:rPr>
        <w:t>率、缩短采购周期及降低物资库存成本。</w:t>
      </w:r>
    </w:p>
    <w:p w14:paraId="35172A24" w14:textId="078C6C22" w:rsidR="004C4530" w:rsidRPr="003377AD" w:rsidRDefault="004C4530" w:rsidP="003377AD">
      <w:pPr>
        <w:pStyle w:val="a3"/>
        <w:numPr>
          <w:ilvl w:val="0"/>
          <w:numId w:val="2"/>
        </w:numPr>
        <w:spacing w:line="360" w:lineRule="auto"/>
        <w:ind w:firstLineChars="0"/>
        <w:jc w:val="left"/>
        <w:rPr>
          <w:rFonts w:ascii="宋体" w:eastAsia="宋体" w:hAnsi="宋体"/>
          <w:sz w:val="24"/>
          <w:szCs w:val="24"/>
        </w:rPr>
      </w:pPr>
      <w:r w:rsidRPr="003377AD">
        <w:rPr>
          <w:rFonts w:ascii="宋体" w:eastAsia="宋体" w:hAnsi="宋体" w:hint="eastAsia"/>
          <w:sz w:val="24"/>
          <w:szCs w:val="24"/>
        </w:rPr>
        <w:t>构建V</w:t>
      </w:r>
      <w:r w:rsidRPr="003377AD">
        <w:rPr>
          <w:rFonts w:ascii="宋体" w:eastAsia="宋体" w:hAnsi="宋体"/>
          <w:sz w:val="24"/>
          <w:szCs w:val="24"/>
        </w:rPr>
        <w:t>MI</w:t>
      </w:r>
      <w:r w:rsidRPr="003377AD">
        <w:rPr>
          <w:rFonts w:ascii="宋体" w:eastAsia="宋体" w:hAnsi="宋体" w:hint="eastAsia"/>
          <w:sz w:val="24"/>
          <w:szCs w:val="24"/>
        </w:rPr>
        <w:t>管理库存</w:t>
      </w:r>
    </w:p>
    <w:p w14:paraId="0FBB879D" w14:textId="2A142660" w:rsidR="004C4530" w:rsidRDefault="004C4530" w:rsidP="004C4530">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lastRenderedPageBreak/>
        <w:t>对备品备件这类物资的库存进行外包，V</w:t>
      </w:r>
      <w:r>
        <w:rPr>
          <w:rFonts w:ascii="宋体" w:eastAsia="宋体" w:hAnsi="宋体"/>
          <w:sz w:val="24"/>
          <w:szCs w:val="24"/>
        </w:rPr>
        <w:t>MI</w:t>
      </w:r>
      <w:r>
        <w:rPr>
          <w:rFonts w:ascii="宋体" w:eastAsia="宋体" w:hAnsi="宋体" w:hint="eastAsia"/>
          <w:sz w:val="24"/>
          <w:szCs w:val="24"/>
        </w:rPr>
        <w:t>库存管理使得库存管理更加系统化、专业化与规模化。供应商在无锡地铁的许可下设立库存，确定库存水平和补给策略，拥有库存控制权</w:t>
      </w:r>
      <w:r w:rsidR="006F2415">
        <w:rPr>
          <w:rFonts w:ascii="宋体" w:eastAsia="宋体" w:hAnsi="宋体" w:hint="eastAsia"/>
          <w:sz w:val="24"/>
          <w:szCs w:val="24"/>
        </w:rPr>
        <w:t>，这样一线生产部门将会有机会将优先的资源集中于自己的生产作业，使得资源得到充分的优化配置，有利于降低库存、降低风险与降低物资管理的难度。</w:t>
      </w:r>
    </w:p>
    <w:p w14:paraId="5FAA6F98" w14:textId="2887F4E2" w:rsidR="00AA3257" w:rsidRDefault="006F2415" w:rsidP="00AA3257">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总的来说，V</w:t>
      </w:r>
      <w:r>
        <w:rPr>
          <w:rFonts w:ascii="宋体" w:eastAsia="宋体" w:hAnsi="宋体"/>
          <w:sz w:val="24"/>
          <w:szCs w:val="24"/>
        </w:rPr>
        <w:t>MI</w:t>
      </w:r>
      <w:r>
        <w:rPr>
          <w:rFonts w:ascii="宋体" w:eastAsia="宋体" w:hAnsi="宋体" w:hint="eastAsia"/>
          <w:sz w:val="24"/>
          <w:szCs w:val="24"/>
        </w:rPr>
        <w:t>策略打破了传统的各自为政的库存管理模式，体现了供应链的集成化管理思想，供应商与其他客户企业交换信息，实现信息共享与密切合作，不仅可以降低整条供应链上的库存水平和成本，还能更好地改善客户满意度，加速资金和物资周转，使供需双方共享利益，实现“双赢”。V</w:t>
      </w:r>
      <w:r>
        <w:rPr>
          <w:rFonts w:ascii="宋体" w:eastAsia="宋体" w:hAnsi="宋体"/>
          <w:sz w:val="24"/>
          <w:szCs w:val="24"/>
        </w:rPr>
        <w:t>MI</w:t>
      </w:r>
      <w:r>
        <w:rPr>
          <w:rFonts w:ascii="宋体" w:eastAsia="宋体" w:hAnsi="宋体" w:hint="eastAsia"/>
          <w:sz w:val="24"/>
          <w:szCs w:val="24"/>
        </w:rPr>
        <w:t>适应市场变化的要求，是一种新的、有代表性的库存管理思想。</w:t>
      </w:r>
    </w:p>
    <w:p w14:paraId="5F864BD7" w14:textId="77777777" w:rsidR="00AA3257" w:rsidRDefault="00AA3257" w:rsidP="00AA3257">
      <w:pPr>
        <w:spacing w:line="360" w:lineRule="auto"/>
        <w:jc w:val="left"/>
        <w:rPr>
          <w:rFonts w:ascii="宋体" w:eastAsia="宋体" w:hAnsi="宋体"/>
          <w:sz w:val="24"/>
          <w:szCs w:val="24"/>
        </w:rPr>
      </w:pPr>
    </w:p>
    <w:p w14:paraId="4A8F0FEA" w14:textId="7A498A49" w:rsidR="00AA3257" w:rsidRPr="00AA3257" w:rsidRDefault="00AA3257" w:rsidP="00AA3257">
      <w:pPr>
        <w:spacing w:line="360" w:lineRule="auto"/>
        <w:jc w:val="left"/>
        <w:rPr>
          <w:rFonts w:ascii="宋体" w:eastAsia="宋体" w:hAnsi="宋体"/>
          <w:sz w:val="24"/>
          <w:szCs w:val="24"/>
        </w:rPr>
      </w:pPr>
      <w:r>
        <w:rPr>
          <w:rFonts w:ascii="微软雅黑" w:eastAsia="微软雅黑" w:hAnsi="微软雅黑" w:hint="eastAsia"/>
          <w:color w:val="666666"/>
          <w:sz w:val="18"/>
          <w:szCs w:val="18"/>
          <w:shd w:val="clear" w:color="auto" w:fill="FFFFFF"/>
        </w:rPr>
        <w:t>[1]叶倪,刘臻.供应商管理库存VMI在轨道交通行业中的应用——以无锡地铁为例[J].物流技术与应用,2022,27(01):136-138.</w:t>
      </w:r>
    </w:p>
    <w:p w14:paraId="188B6F0D" w14:textId="6261DEBA" w:rsidR="003377AD" w:rsidRPr="00D525AC" w:rsidRDefault="00525201" w:rsidP="00D525AC">
      <w:pPr>
        <w:spacing w:line="360" w:lineRule="auto"/>
        <w:ind w:firstLineChars="200" w:firstLine="420"/>
        <w:jc w:val="left"/>
        <w:rPr>
          <w:rFonts w:ascii="宋体" w:eastAsia="宋体" w:hAnsi="宋体"/>
          <w:sz w:val="24"/>
          <w:szCs w:val="24"/>
        </w:rPr>
      </w:pPr>
      <w:r>
        <w:rPr>
          <w:noProof/>
        </w:rPr>
        <mc:AlternateContent>
          <mc:Choice Requires="wps">
            <w:drawing>
              <wp:anchor distT="0" distB="0" distL="114300" distR="114300" simplePos="0" relativeHeight="251661312" behindDoc="0" locked="0" layoutInCell="1" allowOverlap="1" wp14:anchorId="2500FB09" wp14:editId="16F204E4">
                <wp:simplePos x="0" y="0"/>
                <wp:positionH relativeFrom="margin">
                  <wp:align>center</wp:align>
                </wp:positionH>
                <wp:positionV relativeFrom="paragraph">
                  <wp:posOffset>4481306</wp:posOffset>
                </wp:positionV>
                <wp:extent cx="3426460" cy="213995"/>
                <wp:effectExtent l="0" t="0" r="2540" b="0"/>
                <wp:wrapSquare wrapText="bothSides"/>
                <wp:docPr id="2014206995" name="文本框 1"/>
                <wp:cNvGraphicFramePr/>
                <a:graphic xmlns:a="http://schemas.openxmlformats.org/drawingml/2006/main">
                  <a:graphicData uri="http://schemas.microsoft.com/office/word/2010/wordprocessingShape">
                    <wps:wsp>
                      <wps:cNvSpPr txBox="1"/>
                      <wps:spPr>
                        <a:xfrm>
                          <a:off x="0" y="0"/>
                          <a:ext cx="3426460" cy="213995"/>
                        </a:xfrm>
                        <a:prstGeom prst="rect">
                          <a:avLst/>
                        </a:prstGeom>
                        <a:solidFill>
                          <a:prstClr val="white"/>
                        </a:solidFill>
                        <a:ln>
                          <a:noFill/>
                        </a:ln>
                      </wps:spPr>
                      <wps:txbx>
                        <w:txbxContent>
                          <w:p w14:paraId="0A8D9981" w14:textId="2B809B64" w:rsidR="004C4530" w:rsidRPr="004C4530" w:rsidRDefault="004C4530" w:rsidP="004C4530">
                            <w:pPr>
                              <w:pStyle w:val="a4"/>
                              <w:rPr>
                                <w:rFonts w:ascii="宋体" w:eastAsia="宋体" w:hAnsi="宋体"/>
                                <w:sz w:val="24"/>
                                <w:szCs w:val="24"/>
                              </w:rPr>
                            </w:pPr>
                            <w:r w:rsidRPr="004C4530">
                              <w:rPr>
                                <w:rFonts w:ascii="宋体" w:eastAsia="宋体" w:hAnsi="宋体"/>
                                <w:sz w:val="24"/>
                                <w:szCs w:val="24"/>
                              </w:rPr>
                              <w:t>图</w:t>
                            </w:r>
                            <w:r w:rsidRPr="004C4530">
                              <w:rPr>
                                <w:rFonts w:ascii="宋体" w:eastAsia="宋体" w:hAnsi="宋体" w:hint="eastAsia"/>
                                <w:sz w:val="24"/>
                                <w:szCs w:val="24"/>
                              </w:rPr>
                              <w:t>1</w:t>
                            </w:r>
                            <w:r w:rsidRPr="004C4530">
                              <w:rPr>
                                <w:rFonts w:ascii="宋体" w:eastAsia="宋体" w:hAnsi="宋体"/>
                                <w:sz w:val="24"/>
                                <w:szCs w:val="24"/>
                              </w:rPr>
                              <w:t xml:space="preserve"> 无锡地铁</w:t>
                            </w:r>
                            <w:r w:rsidRPr="004C4530">
                              <w:rPr>
                                <w:rFonts w:ascii="宋体" w:eastAsia="宋体" w:hAnsi="宋体" w:hint="eastAsia"/>
                                <w:sz w:val="24"/>
                                <w:szCs w:val="24"/>
                              </w:rPr>
                              <w:t>常规物资采购的V</w:t>
                            </w:r>
                            <w:r w:rsidRPr="004C4530">
                              <w:rPr>
                                <w:rFonts w:ascii="宋体" w:eastAsia="宋体" w:hAnsi="宋体"/>
                                <w:sz w:val="24"/>
                                <w:szCs w:val="24"/>
                              </w:rPr>
                              <w:t>MI流程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2500FB09" id="_x0000_s1028" type="#_x0000_t202" style="position:absolute;left:0;text-align:left;margin-left:0;margin-top:352.85pt;width:269.8pt;height:16.85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" stroked="f">
                <v:textbox inset="0,0,0,0">
                  <w:txbxContent>
                    <w:p w14:paraId="0A8D9981" w14:textId="2B809B64" w:rsidR="004C4530" w:rsidRPr="004C4530" w:rsidRDefault="004C4530" w:rsidP="004C4530">
                      <w:pPr>
                        <w:pStyle w:val="a4"/>
                        <w:rPr>
                          <w:rFonts w:ascii="宋体" w:eastAsia="宋体" w:hAnsi="宋体"/>
                          <w:sz w:val="24"/>
                          <w:szCs w:val="24"/>
                        </w:rPr>
                      </w:pPr>
                      <w:r w:rsidRPr="004C4530">
                        <w:rPr>
                          <w:rFonts w:ascii="宋体" w:eastAsia="宋体" w:hAnsi="宋体"/>
                          <w:sz w:val="24"/>
                          <w:szCs w:val="24"/>
                        </w:rPr>
                        <w:t>图</w:t>
                      </w:r>
                      <w:r w:rsidRPr="004C4530">
                        <w:rPr>
                          <w:rFonts w:ascii="宋体" w:eastAsia="宋体" w:hAnsi="宋体" w:hint="eastAsia"/>
                          <w:sz w:val="24"/>
                          <w:szCs w:val="24"/>
                        </w:rPr>
                        <w:t>1</w:t>
                      </w:r>
                      <w:r w:rsidRPr="004C4530">
                        <w:rPr>
                          <w:rFonts w:ascii="宋体" w:eastAsia="宋体" w:hAnsi="宋体"/>
                          <w:sz w:val="24"/>
                          <w:szCs w:val="24"/>
                        </w:rPr>
                        <w:t xml:space="preserve"> 无锡地铁</w:t>
                      </w:r>
                      <w:r w:rsidRPr="004C4530">
                        <w:rPr>
                          <w:rFonts w:ascii="宋体" w:eastAsia="宋体" w:hAnsi="宋体" w:hint="eastAsia"/>
                          <w:sz w:val="24"/>
                          <w:szCs w:val="24"/>
                        </w:rPr>
                        <w:t>常规物资采购的V</w:t>
                      </w:r>
                      <w:r w:rsidRPr="004C4530">
                        <w:rPr>
                          <w:rFonts w:ascii="宋体" w:eastAsia="宋体" w:hAnsi="宋体"/>
                          <w:sz w:val="24"/>
                          <w:szCs w:val="24"/>
                        </w:rPr>
                        <w:t>MI流程</w:t>
                      </w:r>
                    </w:p>
                  </w:txbxContent>
                </v:textbox>
                <w10:wrap type="square" anchorx="margin"/>
              </v:shape>
            </w:pict>
          </mc:Fallback>
        </mc:AlternateContent>
      </w:r>
      <w:r w:rsidR="00D525AC">
        <w:rPr>
          <w:rFonts w:hint="eastAsia"/>
          <w:noProof/>
        </w:rPr>
        <w:drawing>
          <wp:anchor distT="0" distB="0" distL="114300" distR="114300" simplePos="0" relativeHeight="251659264" behindDoc="0" locked="0" layoutInCell="1" allowOverlap="1" wp14:anchorId="2769B755" wp14:editId="20BE98AE">
            <wp:simplePos x="0" y="0"/>
            <wp:positionH relativeFrom="margin">
              <wp:align>center</wp:align>
            </wp:positionH>
            <wp:positionV relativeFrom="paragraph">
              <wp:posOffset>73080</wp:posOffset>
            </wp:positionV>
            <wp:extent cx="2814320" cy="4340225"/>
            <wp:effectExtent l="0" t="0" r="5080" b="3175"/>
            <wp:wrapSquare wrapText="bothSides"/>
            <wp:docPr id="2925942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594275" name="图片 292594275"/>
                    <pic:cNvPicPr/>
                  </pic:nvPicPr>
                  <pic:blipFill>
                    <a:blip r:embed="rId7">
                      <a:extLst>
                        <a:ext uri="{28A0092B-C50C-407E-A947-70E740481C1C}">
                          <a14:useLocalDpi xmlns:a14="http://schemas.microsoft.com/office/drawing/2010/main" val="0"/>
                        </a:ext>
                      </a:extLst>
                    </a:blip>
                    <a:stretch>
                      <a:fillRect/>
                    </a:stretch>
                  </pic:blipFill>
                  <pic:spPr>
                    <a:xfrm>
                      <a:off x="0" y="0"/>
                      <a:ext cx="2814320" cy="4340225"/>
                    </a:xfrm>
                    <a:prstGeom prst="rect">
                      <a:avLst/>
                    </a:prstGeom>
                  </pic:spPr>
                </pic:pic>
              </a:graphicData>
            </a:graphic>
            <wp14:sizeRelH relativeFrom="margin">
              <wp14:pctWidth>0</wp14:pctWidth>
            </wp14:sizeRelH>
            <wp14:sizeRelV relativeFrom="margin">
              <wp14:pctHeight>0</wp14:pctHeight>
            </wp14:sizeRelV>
          </wp:anchor>
        </w:drawing>
      </w:r>
      <w:r w:rsidR="003377AD">
        <w:rPr>
          <w:rFonts w:ascii="宋体" w:eastAsia="宋体" w:hAnsi="宋体"/>
          <w:b/>
          <w:bCs/>
          <w:sz w:val="32"/>
          <w:szCs w:val="32"/>
        </w:rPr>
        <w:br w:type="page"/>
      </w:r>
    </w:p>
    <w:p w14:paraId="30EEF655" w14:textId="4C7AA7FD" w:rsidR="006F2415" w:rsidRDefault="006F2415" w:rsidP="006F2415">
      <w:pPr>
        <w:spacing w:line="360" w:lineRule="auto"/>
        <w:ind w:firstLineChars="200" w:firstLine="643"/>
        <w:jc w:val="center"/>
        <w:rPr>
          <w:rFonts w:ascii="宋体" w:eastAsia="宋体" w:hAnsi="宋体"/>
          <w:b/>
          <w:bCs/>
          <w:sz w:val="32"/>
          <w:szCs w:val="32"/>
        </w:rPr>
      </w:pPr>
      <w:r>
        <w:rPr>
          <w:rFonts w:ascii="宋体" w:eastAsia="宋体" w:hAnsi="宋体" w:hint="eastAsia"/>
          <w:b/>
          <w:bCs/>
          <w:sz w:val="32"/>
          <w:szCs w:val="32"/>
        </w:rPr>
        <w:lastRenderedPageBreak/>
        <w:t>（四）</w:t>
      </w:r>
    </w:p>
    <w:p w14:paraId="5EDAE41C" w14:textId="344A4A63" w:rsidR="000A029F" w:rsidRDefault="00680498" w:rsidP="000A029F">
      <w:pPr>
        <w:spacing w:line="360" w:lineRule="auto"/>
        <w:ind w:firstLineChars="200" w:firstLine="562"/>
        <w:jc w:val="center"/>
        <w:rPr>
          <w:rFonts w:ascii="宋体" w:eastAsia="宋体" w:hAnsi="宋体"/>
          <w:b/>
          <w:bCs/>
          <w:sz w:val="28"/>
          <w:szCs w:val="28"/>
        </w:rPr>
      </w:pPr>
      <w:r>
        <w:rPr>
          <w:rFonts w:ascii="宋体" w:eastAsia="宋体" w:hAnsi="宋体" w:hint="eastAsia"/>
          <w:b/>
          <w:bCs/>
          <w:sz w:val="28"/>
          <w:szCs w:val="28"/>
        </w:rPr>
        <w:t>关于B</w:t>
      </w:r>
      <w:r>
        <w:rPr>
          <w:rFonts w:ascii="宋体" w:eastAsia="宋体" w:hAnsi="宋体"/>
          <w:b/>
          <w:bCs/>
          <w:sz w:val="28"/>
          <w:szCs w:val="28"/>
        </w:rPr>
        <w:t>2B</w:t>
      </w:r>
      <w:r>
        <w:rPr>
          <w:rFonts w:ascii="宋体" w:eastAsia="宋体" w:hAnsi="宋体" w:hint="eastAsia"/>
          <w:b/>
          <w:bCs/>
          <w:sz w:val="28"/>
          <w:szCs w:val="28"/>
        </w:rPr>
        <w:t>、B</w:t>
      </w:r>
      <w:r>
        <w:rPr>
          <w:rFonts w:ascii="宋体" w:eastAsia="宋体" w:hAnsi="宋体"/>
          <w:b/>
          <w:bCs/>
          <w:sz w:val="28"/>
          <w:szCs w:val="28"/>
        </w:rPr>
        <w:t>2C</w:t>
      </w:r>
      <w:r>
        <w:rPr>
          <w:rFonts w:ascii="宋体" w:eastAsia="宋体" w:hAnsi="宋体" w:hint="eastAsia"/>
          <w:b/>
          <w:bCs/>
          <w:sz w:val="28"/>
          <w:szCs w:val="28"/>
        </w:rPr>
        <w:t>与C2</w:t>
      </w:r>
      <w:r>
        <w:rPr>
          <w:rFonts w:ascii="宋体" w:eastAsia="宋体" w:hAnsi="宋体"/>
          <w:b/>
          <w:bCs/>
          <w:sz w:val="28"/>
          <w:szCs w:val="28"/>
        </w:rPr>
        <w:t>C</w:t>
      </w:r>
      <w:r>
        <w:rPr>
          <w:rFonts w:ascii="宋体" w:eastAsia="宋体" w:hAnsi="宋体" w:hint="eastAsia"/>
          <w:b/>
          <w:bCs/>
          <w:sz w:val="28"/>
          <w:szCs w:val="28"/>
        </w:rPr>
        <w:t>电子商务物流的研究</w:t>
      </w:r>
    </w:p>
    <w:p w14:paraId="4D140CA3" w14:textId="77777777" w:rsidR="00D85C69" w:rsidRDefault="000A029F" w:rsidP="00D85C69">
      <w:pPr>
        <w:keepNext/>
        <w:spacing w:line="360" w:lineRule="auto"/>
        <w:ind w:firstLineChars="200" w:firstLine="562"/>
        <w:jc w:val="center"/>
      </w:pPr>
      <w:r w:rsidRPr="000A029F">
        <w:rPr>
          <w:rFonts w:ascii="宋体" w:eastAsia="宋体" w:hAnsi="宋体"/>
          <w:b/>
          <w:bCs/>
          <w:noProof/>
          <w:sz w:val="28"/>
          <w:szCs w:val="28"/>
        </w:rPr>
        <w:drawing>
          <wp:inline distT="0" distB="0" distL="0" distR="0" wp14:anchorId="67AF2642" wp14:editId="2D601D7B">
            <wp:extent cx="4293870" cy="2785403"/>
            <wp:effectExtent l="0" t="0" r="0" b="0"/>
            <wp:docPr id="98963033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11370" cy="2796755"/>
                    </a:xfrm>
                    <a:prstGeom prst="rect">
                      <a:avLst/>
                    </a:prstGeom>
                    <a:noFill/>
                    <a:ln>
                      <a:noFill/>
                    </a:ln>
                  </pic:spPr>
                </pic:pic>
              </a:graphicData>
            </a:graphic>
          </wp:inline>
        </w:drawing>
      </w:r>
    </w:p>
    <w:p w14:paraId="3E7A0BF4" w14:textId="33AC8F33" w:rsidR="000A029F" w:rsidRPr="00D85C69" w:rsidRDefault="00D85C69" w:rsidP="00456C92">
      <w:pPr>
        <w:pStyle w:val="a4"/>
        <w:jc w:val="center"/>
        <w:rPr>
          <w:rFonts w:ascii="微软雅黑" w:eastAsia="微软雅黑" w:hAnsi="微软雅黑"/>
          <w:b/>
          <w:bCs/>
          <w:sz w:val="28"/>
          <w:szCs w:val="28"/>
        </w:rPr>
      </w:pPr>
      <w:r>
        <w:rPr>
          <w:rFonts w:ascii="微软雅黑" w:eastAsia="微软雅黑" w:hAnsi="微软雅黑" w:hint="eastAsia"/>
        </w:rPr>
        <w:t>图3</w:t>
      </w:r>
      <w:r>
        <w:rPr>
          <w:rFonts w:ascii="微软雅黑" w:eastAsia="微软雅黑" w:hAnsi="微软雅黑"/>
        </w:rPr>
        <w:t xml:space="preserve"> B2B</w:t>
      </w:r>
      <w:r>
        <w:rPr>
          <w:rFonts w:ascii="微软雅黑" w:eastAsia="微软雅黑" w:hAnsi="微软雅黑" w:hint="eastAsia"/>
        </w:rPr>
        <w:t>、</w:t>
      </w:r>
      <w:r>
        <w:rPr>
          <w:rFonts w:ascii="微软雅黑" w:eastAsia="微软雅黑" w:hAnsi="微软雅黑"/>
        </w:rPr>
        <w:t>B2C</w:t>
      </w:r>
      <w:r>
        <w:rPr>
          <w:rFonts w:ascii="微软雅黑" w:eastAsia="微软雅黑" w:hAnsi="微软雅黑" w:hint="eastAsia"/>
        </w:rPr>
        <w:t>、C</w:t>
      </w:r>
      <w:r>
        <w:rPr>
          <w:rFonts w:ascii="微软雅黑" w:eastAsia="微软雅黑" w:hAnsi="微软雅黑"/>
        </w:rPr>
        <w:t>2C</w:t>
      </w:r>
      <w:r>
        <w:rPr>
          <w:rFonts w:ascii="微软雅黑" w:eastAsia="微软雅黑" w:hAnsi="微软雅黑" w:hint="eastAsia"/>
        </w:rPr>
        <w:t>和0</w:t>
      </w:r>
      <w:r>
        <w:rPr>
          <w:rFonts w:ascii="微软雅黑" w:eastAsia="微软雅黑" w:hAnsi="微软雅黑"/>
        </w:rPr>
        <w:t>20</w:t>
      </w:r>
    </w:p>
    <w:p w14:paraId="2F729D57" w14:textId="5564B340" w:rsidR="000A029F" w:rsidRDefault="0029028F" w:rsidP="00680498">
      <w:pPr>
        <w:spacing w:line="360" w:lineRule="auto"/>
        <w:ind w:firstLineChars="200" w:firstLine="562"/>
        <w:jc w:val="center"/>
        <w:rPr>
          <w:rFonts w:ascii="宋体" w:eastAsia="宋体" w:hAnsi="宋体"/>
          <w:b/>
          <w:bCs/>
          <w:sz w:val="28"/>
          <w:szCs w:val="28"/>
        </w:rPr>
      </w:pPr>
      <w:r>
        <w:rPr>
          <w:rFonts w:ascii="宋体" w:eastAsia="宋体" w:hAnsi="宋体"/>
          <w:b/>
          <w:bCs/>
          <w:noProof/>
          <w:sz w:val="28"/>
          <w:szCs w:val="28"/>
        </w:rPr>
        <w:drawing>
          <wp:anchor distT="0" distB="0" distL="114300" distR="114300" simplePos="0" relativeHeight="251675648" behindDoc="0" locked="0" layoutInCell="1" allowOverlap="1" wp14:anchorId="467287DF" wp14:editId="41AAA5D5">
            <wp:simplePos x="0" y="0"/>
            <wp:positionH relativeFrom="margin">
              <wp:posOffset>1170940</wp:posOffset>
            </wp:positionH>
            <wp:positionV relativeFrom="paragraph">
              <wp:posOffset>217805</wp:posOffset>
            </wp:positionV>
            <wp:extent cx="2954020" cy="2355850"/>
            <wp:effectExtent l="0" t="0" r="0" b="6350"/>
            <wp:wrapSquare wrapText="bothSides"/>
            <wp:docPr id="9944885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4020" cy="2355850"/>
                    </a:xfrm>
                    <a:prstGeom prst="rect">
                      <a:avLst/>
                    </a:prstGeom>
                    <a:noFill/>
                  </pic:spPr>
                </pic:pic>
              </a:graphicData>
            </a:graphic>
            <wp14:sizeRelH relativeFrom="page">
              <wp14:pctWidth>0</wp14:pctWidth>
            </wp14:sizeRelH>
            <wp14:sizeRelV relativeFrom="page">
              <wp14:pctHeight>0</wp14:pctHeight>
            </wp14:sizeRelV>
          </wp:anchor>
        </w:drawing>
      </w:r>
      <w:r w:rsidR="00D85C69">
        <w:rPr>
          <w:noProof/>
        </w:rPr>
        <mc:AlternateContent>
          <mc:Choice Requires="wps">
            <w:drawing>
              <wp:anchor distT="0" distB="0" distL="114300" distR="114300" simplePos="0" relativeHeight="251677696" behindDoc="0" locked="0" layoutInCell="1" allowOverlap="1" wp14:anchorId="7A7BD43D" wp14:editId="61FF4B5C">
                <wp:simplePos x="0" y="0"/>
                <wp:positionH relativeFrom="column">
                  <wp:posOffset>1170305</wp:posOffset>
                </wp:positionH>
                <wp:positionV relativeFrom="paragraph">
                  <wp:posOffset>2472690</wp:posOffset>
                </wp:positionV>
                <wp:extent cx="2927350" cy="635"/>
                <wp:effectExtent l="0" t="0" r="0" b="0"/>
                <wp:wrapSquare wrapText="bothSides"/>
                <wp:docPr id="236592336" name="文本框 1"/>
                <wp:cNvGraphicFramePr/>
                <a:graphic xmlns:a="http://schemas.openxmlformats.org/drawingml/2006/main">
                  <a:graphicData uri="http://schemas.microsoft.com/office/word/2010/wordprocessingShape">
                    <wps:wsp>
                      <wps:cNvSpPr txBox="1"/>
                      <wps:spPr>
                        <a:xfrm>
                          <a:off x="0" y="0"/>
                          <a:ext cx="2927350" cy="635"/>
                        </a:xfrm>
                        <a:prstGeom prst="rect">
                          <a:avLst/>
                        </a:prstGeom>
                        <a:solidFill>
                          <a:prstClr val="white"/>
                        </a:solidFill>
                        <a:ln>
                          <a:noFill/>
                        </a:ln>
                      </wps:spPr>
                      <wps:txbx>
                        <w:txbxContent>
                          <w:p w14:paraId="073A4619" w14:textId="2036E3E0" w:rsidR="00D85C69" w:rsidRPr="00D85C69" w:rsidRDefault="00D85C69" w:rsidP="00D85C69">
                            <w:pPr>
                              <w:pStyle w:val="a4"/>
                              <w:jc w:val="center"/>
                              <w:rPr>
                                <w:rFonts w:ascii="微软雅黑" w:eastAsia="微软雅黑" w:hAnsi="微软雅黑"/>
                                <w:b/>
                                <w:bCs/>
                                <w:noProof/>
                                <w:sz w:val="28"/>
                                <w:szCs w:val="28"/>
                              </w:rPr>
                            </w:pPr>
                            <w:r>
                              <w:rPr>
                                <w:rFonts w:ascii="微软雅黑" w:eastAsia="微软雅黑" w:hAnsi="微软雅黑" w:hint="eastAsia"/>
                              </w:rPr>
                              <w:t>图4</w:t>
                            </w:r>
                            <w:r>
                              <w:rPr>
                                <w:rFonts w:ascii="微软雅黑" w:eastAsia="微软雅黑" w:hAnsi="微软雅黑"/>
                              </w:rPr>
                              <w:t xml:space="preserve"> 电子商务的商业模式</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 w14:anchorId="7A7BD43D" id="_x0000_s1029" type="#_x0000_t202" style="position:absolute;left:0;text-align:left;margin-left:92.15pt;margin-top:194.7pt;width:230.5pt;height:.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" stroked="f">
                <v:textbox style="mso-fit-shape-to-text:t" inset="0,0,0,0">
                  <w:txbxContent>
                    <w:p w14:paraId="073A4619" w14:textId="2036E3E0" w:rsidR="00D85C69" w:rsidRPr="00D85C69" w:rsidRDefault="00D85C69" w:rsidP="00D85C69">
                      <w:pPr>
                        <w:pStyle w:val="a4"/>
                        <w:jc w:val="center"/>
                        <w:rPr>
                          <w:rFonts w:ascii="微软雅黑" w:eastAsia="微软雅黑" w:hAnsi="微软雅黑"/>
                          <w:b/>
                          <w:bCs/>
                          <w:noProof/>
                          <w:sz w:val="28"/>
                          <w:szCs w:val="28"/>
                        </w:rPr>
                      </w:pPr>
                      <w:r>
                        <w:rPr>
                          <w:rFonts w:ascii="微软雅黑" w:eastAsia="微软雅黑" w:hAnsi="微软雅黑" w:hint="eastAsia"/>
                        </w:rPr>
                        <w:t>图4</w:t>
                      </w:r>
                      <w:r>
                        <w:rPr>
                          <w:rFonts w:ascii="微软雅黑" w:eastAsia="微软雅黑" w:hAnsi="微软雅黑"/>
                        </w:rPr>
                        <w:t xml:space="preserve"> 电子商务的商业模式</w:t>
                      </w:r>
                    </w:p>
                  </w:txbxContent>
                </v:textbox>
                <w10:wrap type="square"/>
              </v:shape>
            </w:pict>
          </mc:Fallback>
        </mc:AlternateContent>
      </w:r>
    </w:p>
    <w:p w14:paraId="4940CF93" w14:textId="2A7CC92A" w:rsidR="000A029F" w:rsidRDefault="000A029F" w:rsidP="00680498">
      <w:pPr>
        <w:spacing w:line="360" w:lineRule="auto"/>
        <w:ind w:firstLineChars="200" w:firstLine="562"/>
        <w:jc w:val="center"/>
        <w:rPr>
          <w:rFonts w:ascii="宋体" w:eastAsia="宋体" w:hAnsi="宋体"/>
          <w:b/>
          <w:bCs/>
          <w:sz w:val="28"/>
          <w:szCs w:val="28"/>
        </w:rPr>
      </w:pPr>
    </w:p>
    <w:p w14:paraId="71872413" w14:textId="2C4F7BF0" w:rsidR="000A029F" w:rsidRDefault="000A029F" w:rsidP="00680498">
      <w:pPr>
        <w:spacing w:line="360" w:lineRule="auto"/>
        <w:ind w:firstLineChars="200" w:firstLine="562"/>
        <w:jc w:val="center"/>
        <w:rPr>
          <w:rFonts w:ascii="宋体" w:eastAsia="宋体" w:hAnsi="宋体"/>
          <w:b/>
          <w:bCs/>
          <w:sz w:val="28"/>
          <w:szCs w:val="28"/>
        </w:rPr>
      </w:pPr>
    </w:p>
    <w:p w14:paraId="0A2EAACE" w14:textId="614E0965" w:rsidR="000A029F" w:rsidRDefault="000A029F" w:rsidP="00680498">
      <w:pPr>
        <w:spacing w:line="360" w:lineRule="auto"/>
        <w:ind w:firstLineChars="200" w:firstLine="562"/>
        <w:jc w:val="center"/>
        <w:rPr>
          <w:rFonts w:ascii="宋体" w:eastAsia="宋体" w:hAnsi="宋体"/>
          <w:b/>
          <w:bCs/>
          <w:sz w:val="28"/>
          <w:szCs w:val="28"/>
        </w:rPr>
      </w:pPr>
    </w:p>
    <w:p w14:paraId="3D02CD1A" w14:textId="77777777" w:rsidR="000A029F" w:rsidRDefault="000A029F" w:rsidP="00680498">
      <w:pPr>
        <w:spacing w:line="360" w:lineRule="auto"/>
        <w:ind w:firstLineChars="200" w:firstLine="562"/>
        <w:jc w:val="center"/>
        <w:rPr>
          <w:rFonts w:ascii="宋体" w:eastAsia="宋体" w:hAnsi="宋体"/>
          <w:b/>
          <w:bCs/>
          <w:sz w:val="28"/>
          <w:szCs w:val="28"/>
        </w:rPr>
      </w:pPr>
    </w:p>
    <w:p w14:paraId="2AD5ACB4" w14:textId="77777777" w:rsidR="00D85C69" w:rsidRDefault="00D85C69" w:rsidP="00456C92">
      <w:pPr>
        <w:spacing w:line="600" w:lineRule="auto"/>
        <w:ind w:firstLineChars="200" w:firstLine="562"/>
        <w:jc w:val="center"/>
        <w:rPr>
          <w:rFonts w:ascii="宋体" w:eastAsia="宋体" w:hAnsi="宋体"/>
          <w:b/>
          <w:bCs/>
          <w:sz w:val="28"/>
          <w:szCs w:val="28"/>
        </w:rPr>
      </w:pPr>
    </w:p>
    <w:p w14:paraId="57FACF5C" w14:textId="77777777" w:rsidR="00456C92" w:rsidRDefault="00456C92" w:rsidP="00456C92">
      <w:pPr>
        <w:spacing w:line="600" w:lineRule="auto"/>
        <w:ind w:firstLineChars="200" w:firstLine="562"/>
        <w:jc w:val="center"/>
        <w:rPr>
          <w:rFonts w:ascii="宋体" w:eastAsia="宋体" w:hAnsi="宋体"/>
          <w:b/>
          <w:bCs/>
          <w:sz w:val="28"/>
          <w:szCs w:val="28"/>
        </w:rPr>
      </w:pPr>
    </w:p>
    <w:p w14:paraId="211B8823" w14:textId="77777777" w:rsidR="00EC6F23" w:rsidRDefault="00EC6F23" w:rsidP="00EC6F23">
      <w:pPr>
        <w:spacing w:line="360" w:lineRule="auto"/>
        <w:ind w:firstLineChars="200" w:firstLine="482"/>
        <w:jc w:val="left"/>
        <w:rPr>
          <w:rFonts w:ascii="宋体" w:eastAsia="宋体" w:hAnsi="宋体"/>
          <w:sz w:val="24"/>
          <w:szCs w:val="24"/>
        </w:rPr>
      </w:pPr>
      <w:r w:rsidRPr="00CC634F">
        <w:rPr>
          <w:rFonts w:ascii="宋体" w:eastAsia="宋体" w:hAnsi="宋体" w:hint="eastAsia"/>
          <w:b/>
          <w:bCs/>
          <w:sz w:val="24"/>
          <w:szCs w:val="24"/>
        </w:rPr>
        <w:t>电子商务</w:t>
      </w:r>
      <w:r w:rsidRPr="00EC6F23">
        <w:rPr>
          <w:rFonts w:ascii="宋体" w:eastAsia="宋体" w:hAnsi="宋体" w:hint="eastAsia"/>
          <w:sz w:val="24"/>
          <w:szCs w:val="24"/>
        </w:rPr>
        <w:t>通常是指在全球各地广泛的商业贸易活动中，在因特网开放的网络环境下，基于客户端</w:t>
      </w:r>
      <w:r w:rsidRPr="00EC6F23">
        <w:rPr>
          <w:rFonts w:ascii="宋体" w:eastAsia="宋体" w:hAnsi="宋体"/>
          <w:sz w:val="24"/>
          <w:szCs w:val="24"/>
        </w:rPr>
        <w:t>/服务端应用方式</w:t>
      </w:r>
      <w:r>
        <w:rPr>
          <w:rFonts w:ascii="宋体" w:eastAsia="宋体" w:hAnsi="宋体" w:hint="eastAsia"/>
          <w:sz w:val="24"/>
          <w:szCs w:val="24"/>
        </w:rPr>
        <w:t>，买</w:t>
      </w:r>
      <w:r w:rsidRPr="00EC6F23">
        <w:rPr>
          <w:rFonts w:ascii="宋体" w:eastAsia="宋体" w:hAnsi="宋体" w:hint="eastAsia"/>
          <w:sz w:val="24"/>
          <w:szCs w:val="24"/>
        </w:rPr>
        <w:t>卖双方不谋面地进行各种商贸活动，实现消费者的网上购物、商户之间的网上交易和在线电子支付以及各种商务活动、交易活动、金融活动和相关的综合服务活动的一种新型的商业运营模式。</w:t>
      </w:r>
      <w:r w:rsidR="00781A39">
        <w:rPr>
          <w:rFonts w:ascii="宋体" w:eastAsia="宋体" w:hAnsi="宋体" w:hint="eastAsia"/>
          <w:sz w:val="24"/>
          <w:szCs w:val="24"/>
        </w:rPr>
        <w:t>当前电子商务依据买卖双方参与主体的不同主要可以分为企业到企业（即</w:t>
      </w:r>
      <w:r w:rsidR="00781A39">
        <w:rPr>
          <w:rFonts w:ascii="宋体" w:eastAsia="宋体" w:hAnsi="宋体" w:hint="eastAsia"/>
          <w:sz w:val="24"/>
          <w:szCs w:val="24"/>
        </w:rPr>
        <w:lastRenderedPageBreak/>
        <w:t>B2</w:t>
      </w:r>
      <w:r w:rsidR="00781A39">
        <w:rPr>
          <w:rFonts w:ascii="宋体" w:eastAsia="宋体" w:hAnsi="宋体"/>
          <w:sz w:val="24"/>
          <w:szCs w:val="24"/>
        </w:rPr>
        <w:t>B</w:t>
      </w:r>
      <w:r w:rsidR="00781A39">
        <w:rPr>
          <w:rFonts w:ascii="宋体" w:eastAsia="宋体" w:hAnsi="宋体" w:hint="eastAsia"/>
          <w:sz w:val="24"/>
          <w:szCs w:val="24"/>
        </w:rPr>
        <w:t>模式）、企业到个人（即B2</w:t>
      </w:r>
      <w:r w:rsidR="00781A39">
        <w:rPr>
          <w:rFonts w:ascii="宋体" w:eastAsia="宋体" w:hAnsi="宋体"/>
          <w:sz w:val="24"/>
          <w:szCs w:val="24"/>
        </w:rPr>
        <w:t>C</w:t>
      </w:r>
      <w:r w:rsidR="00781A39">
        <w:rPr>
          <w:rFonts w:ascii="宋体" w:eastAsia="宋体" w:hAnsi="宋体" w:hint="eastAsia"/>
          <w:sz w:val="24"/>
          <w:szCs w:val="24"/>
        </w:rPr>
        <w:t>模式）以及个人到个人（即C</w:t>
      </w:r>
      <w:r w:rsidR="00781A39">
        <w:rPr>
          <w:rFonts w:ascii="宋体" w:eastAsia="宋体" w:hAnsi="宋体"/>
          <w:sz w:val="24"/>
          <w:szCs w:val="24"/>
        </w:rPr>
        <w:t>2C</w:t>
      </w:r>
      <w:r w:rsidR="00781A39">
        <w:rPr>
          <w:rFonts w:ascii="宋体" w:eastAsia="宋体" w:hAnsi="宋体" w:hint="eastAsia"/>
          <w:sz w:val="24"/>
          <w:szCs w:val="24"/>
        </w:rPr>
        <w:t>模式）三种</w:t>
      </w:r>
      <w:r>
        <w:rPr>
          <w:rFonts w:ascii="宋体" w:eastAsia="宋体" w:hAnsi="宋体" w:hint="eastAsia"/>
          <w:sz w:val="24"/>
          <w:szCs w:val="24"/>
        </w:rPr>
        <w:t>。</w:t>
      </w:r>
    </w:p>
    <w:p w14:paraId="3DE4A15A" w14:textId="0524AF8C" w:rsidR="00EC6F23" w:rsidRDefault="00EC6F23" w:rsidP="00EC6F23">
      <w:pPr>
        <w:spacing w:line="360" w:lineRule="auto"/>
        <w:ind w:firstLineChars="200" w:firstLine="482"/>
        <w:jc w:val="left"/>
        <w:rPr>
          <w:rFonts w:ascii="宋体" w:eastAsia="宋体" w:hAnsi="宋体"/>
          <w:sz w:val="24"/>
          <w:szCs w:val="24"/>
        </w:rPr>
      </w:pPr>
      <w:r w:rsidRPr="00CC634F">
        <w:rPr>
          <w:rFonts w:ascii="宋体" w:eastAsia="宋体" w:hAnsi="宋体" w:hint="eastAsia"/>
          <w:b/>
          <w:bCs/>
          <w:sz w:val="24"/>
          <w:szCs w:val="24"/>
        </w:rPr>
        <w:t>企业间的电子商务又称为</w:t>
      </w:r>
      <w:r w:rsidRPr="00CC634F">
        <w:rPr>
          <w:rFonts w:ascii="宋体" w:eastAsia="宋体" w:hAnsi="宋体"/>
          <w:b/>
          <w:bCs/>
          <w:sz w:val="24"/>
          <w:szCs w:val="24"/>
        </w:rPr>
        <w:t>B2B</w:t>
      </w:r>
      <w:r w:rsidRPr="00EC6F23">
        <w:rPr>
          <w:rFonts w:ascii="宋体" w:eastAsia="宋体" w:hAnsi="宋体"/>
          <w:sz w:val="24"/>
          <w:szCs w:val="24"/>
        </w:rPr>
        <w:t>，是指企业与企业之间通过专用网络或Internet，进行数据信息的交换、传递，开展交易活动的商业模式。B2B将企业内部网和企业的产品及服务，通过B2B网站或移动客户端与客户紧密结合起来，通过网络的快速反应，为客户提供更好的服务，从而促进企业的业务发展。</w:t>
      </w:r>
      <w:r w:rsidRPr="00CC634F">
        <w:rPr>
          <w:rFonts w:ascii="宋体" w:eastAsia="宋体" w:hAnsi="宋体" w:hint="eastAsia"/>
          <w:b/>
          <w:bCs/>
          <w:sz w:val="24"/>
          <w:szCs w:val="24"/>
        </w:rPr>
        <w:t>企业与消费者之间的电子商务（</w:t>
      </w:r>
      <w:r w:rsidRPr="00CC634F">
        <w:rPr>
          <w:rFonts w:ascii="宋体" w:eastAsia="宋体" w:hAnsi="宋体"/>
          <w:b/>
          <w:bCs/>
          <w:sz w:val="24"/>
          <w:szCs w:val="24"/>
        </w:rPr>
        <w:t>Business to Customer，即B2C）</w:t>
      </w:r>
      <w:r w:rsidRPr="00EC6F23">
        <w:rPr>
          <w:rFonts w:ascii="宋体" w:eastAsia="宋体" w:hAnsi="宋体"/>
          <w:sz w:val="24"/>
          <w:szCs w:val="24"/>
        </w:rPr>
        <w:t>是消费者利用因特网直接参与经济活动的形式，类同于商业电子化的零售商务。随着因特网的出现，网上销售迅速地发展起来。其代表是亚马逊电子商务模式。</w:t>
      </w:r>
      <w:r w:rsidRPr="00CC634F">
        <w:rPr>
          <w:rFonts w:ascii="宋体" w:eastAsia="宋体" w:hAnsi="宋体" w:hint="eastAsia"/>
          <w:b/>
          <w:bCs/>
          <w:sz w:val="24"/>
          <w:szCs w:val="24"/>
        </w:rPr>
        <w:t>消费者与消费者之间的电子商务</w:t>
      </w:r>
      <w:r w:rsidRPr="00CC634F">
        <w:rPr>
          <w:rFonts w:ascii="宋体" w:eastAsia="宋体" w:hAnsi="宋体"/>
          <w:b/>
          <w:bCs/>
          <w:sz w:val="24"/>
          <w:szCs w:val="24"/>
        </w:rPr>
        <w:t>(C2C)</w:t>
      </w:r>
      <w:r w:rsidRPr="00EC6F23">
        <w:rPr>
          <w:rFonts w:ascii="宋体" w:eastAsia="宋体" w:hAnsi="宋体"/>
          <w:sz w:val="24"/>
          <w:szCs w:val="24"/>
        </w:rPr>
        <w:t>的特点是消费者借助网络交易平台进行人人交易。具体来说，就是消费者通过互联网与消费者之间进行相互的个人交易，如网上拍卖等形式。这种模式为消费者提供了便利与实惠，使卖方可以主动提供商品上网拍卖，而买方可以自行选择商品进行竞价。</w:t>
      </w:r>
    </w:p>
    <w:p w14:paraId="6107FD20" w14:textId="639A9F78" w:rsidR="00680498" w:rsidRDefault="002724BF" w:rsidP="00EC6F2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在经济全球化的当代，电子商务迅速发展的同时也存在着一些</w:t>
      </w:r>
      <w:r w:rsidRPr="0029028F">
        <w:rPr>
          <w:rFonts w:ascii="宋体" w:eastAsia="宋体" w:hAnsi="宋体" w:hint="eastAsia"/>
          <w:b/>
          <w:bCs/>
          <w:sz w:val="24"/>
          <w:szCs w:val="24"/>
        </w:rPr>
        <w:t>问题</w:t>
      </w:r>
      <w:r>
        <w:rPr>
          <w:rFonts w:ascii="宋体" w:eastAsia="宋体" w:hAnsi="宋体" w:hint="eastAsia"/>
          <w:sz w:val="24"/>
          <w:szCs w:val="24"/>
        </w:rPr>
        <w:t>：</w:t>
      </w:r>
    </w:p>
    <w:p w14:paraId="109D07F6" w14:textId="02B987F8" w:rsidR="002724BF" w:rsidRPr="00680498" w:rsidRDefault="002724BF" w:rsidP="002724BF">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首先，</w:t>
      </w:r>
      <w:r w:rsidRPr="0029028F">
        <w:rPr>
          <w:rFonts w:ascii="宋体" w:eastAsia="宋体" w:hAnsi="宋体" w:hint="eastAsia"/>
          <w:b/>
          <w:bCs/>
          <w:sz w:val="24"/>
          <w:szCs w:val="24"/>
        </w:rPr>
        <w:t>逆向物流</w:t>
      </w:r>
      <w:r>
        <w:rPr>
          <w:rFonts w:ascii="宋体" w:eastAsia="宋体" w:hAnsi="宋体" w:hint="eastAsia"/>
          <w:sz w:val="24"/>
          <w:szCs w:val="24"/>
        </w:rPr>
        <w:t>的发展情况不容乐观，近几年电子商务快速发展，虽然电子商务正向物流也得到了很大的发展，但逆向物流的发展情况仍不容乐观。消费者在当前消费环境中越来越注重产品的质量与商家的服务，越来越多的商家愿意为顾客提供七天无理由退货服务，这导致电子商务的逆向物流越来越多，这增加商家物流成本的同时也显著降低了电子商务物流运行的整体效率。</w:t>
      </w:r>
      <w:r w:rsidRPr="002724BF">
        <w:rPr>
          <w:rFonts w:ascii="宋体" w:eastAsia="宋体" w:hAnsi="宋体" w:hint="eastAsia"/>
          <w:sz w:val="24"/>
          <w:szCs w:val="24"/>
        </w:rPr>
        <w:t>同时，与</w:t>
      </w:r>
      <w:r w:rsidRPr="002724BF">
        <w:rPr>
          <w:rFonts w:ascii="宋体" w:eastAsia="宋体" w:hAnsi="宋体"/>
          <w:sz w:val="24"/>
          <w:szCs w:val="24"/>
        </w:rPr>
        <w:t>B2B、B2C不同的是，C2C电子商务物流</w:t>
      </w:r>
      <w:r w:rsidRPr="002724BF">
        <w:rPr>
          <w:rFonts w:ascii="宋体" w:eastAsia="宋体" w:hAnsi="宋体" w:hint="eastAsia"/>
          <w:sz w:val="24"/>
          <w:szCs w:val="24"/>
        </w:rPr>
        <w:t>主要依靠第三方物流，无法结合自身的物流配送体系对逆向物流进行一个有效地运作和管理，同时由于</w:t>
      </w:r>
      <w:r w:rsidRPr="002724BF">
        <w:rPr>
          <w:rFonts w:ascii="宋体" w:eastAsia="宋体" w:hAnsi="宋体"/>
          <w:sz w:val="24"/>
          <w:szCs w:val="24"/>
        </w:rPr>
        <w:t>C2C电子商</w:t>
      </w:r>
      <w:r w:rsidRPr="002724BF">
        <w:rPr>
          <w:rFonts w:ascii="宋体" w:eastAsia="宋体" w:hAnsi="宋体" w:hint="eastAsia"/>
          <w:sz w:val="24"/>
          <w:szCs w:val="24"/>
        </w:rPr>
        <w:t>务进入门槛较低</w:t>
      </w:r>
      <w:r>
        <w:rPr>
          <w:rFonts w:ascii="宋体" w:eastAsia="宋体" w:hAnsi="宋体" w:hint="eastAsia"/>
          <w:sz w:val="24"/>
          <w:szCs w:val="24"/>
        </w:rPr>
        <w:t>、</w:t>
      </w:r>
      <w:r w:rsidRPr="002724BF">
        <w:rPr>
          <w:rFonts w:ascii="宋体" w:eastAsia="宋体" w:hAnsi="宋体" w:hint="eastAsia"/>
          <w:sz w:val="24"/>
          <w:szCs w:val="24"/>
        </w:rPr>
        <w:t>竞争激烈，商家期望通过提升逆向物流服务增加其自身的核心竞争力，这导致逆向物流数量居高不下，逆向物流成本居高不下成为制约</w:t>
      </w:r>
      <w:proofErr w:type="spellStart"/>
      <w:r w:rsidRPr="002724BF">
        <w:rPr>
          <w:rFonts w:ascii="宋体" w:eastAsia="宋体" w:hAnsi="宋体"/>
          <w:sz w:val="24"/>
          <w:szCs w:val="24"/>
        </w:rPr>
        <w:t>C2C</w:t>
      </w:r>
      <w:proofErr w:type="spellEnd"/>
      <w:r w:rsidRPr="002724BF">
        <w:rPr>
          <w:rFonts w:ascii="宋体" w:eastAsia="宋体" w:hAnsi="宋体"/>
          <w:sz w:val="24"/>
          <w:szCs w:val="24"/>
        </w:rPr>
        <w:t>类</w:t>
      </w:r>
      <w:r w:rsidRPr="002724BF">
        <w:rPr>
          <w:rFonts w:ascii="宋体" w:eastAsia="宋体" w:hAnsi="宋体" w:hint="eastAsia"/>
          <w:sz w:val="24"/>
          <w:szCs w:val="24"/>
        </w:rPr>
        <w:t>型的电子商务发展的一个</w:t>
      </w:r>
      <w:r>
        <w:rPr>
          <w:rFonts w:ascii="宋体" w:eastAsia="宋体" w:hAnsi="宋体" w:hint="eastAsia"/>
          <w:sz w:val="24"/>
          <w:szCs w:val="24"/>
        </w:rPr>
        <w:t>重要因</w:t>
      </w:r>
      <w:r w:rsidRPr="002724BF">
        <w:rPr>
          <w:rFonts w:ascii="宋体" w:eastAsia="宋体" w:hAnsi="宋体" w:hint="eastAsia"/>
          <w:sz w:val="24"/>
          <w:szCs w:val="24"/>
        </w:rPr>
        <w:t>素。</w:t>
      </w:r>
    </w:p>
    <w:p w14:paraId="56F395C1" w14:textId="2E4806A0" w:rsidR="004C4530" w:rsidRDefault="002724BF" w:rsidP="002724BF">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其次，电子商务物流运行不可或缺的</w:t>
      </w:r>
      <w:r w:rsidRPr="0029028F">
        <w:rPr>
          <w:rFonts w:ascii="宋体" w:eastAsia="宋体" w:hAnsi="宋体" w:hint="eastAsia"/>
          <w:b/>
          <w:bCs/>
          <w:sz w:val="24"/>
          <w:szCs w:val="24"/>
        </w:rPr>
        <w:t>法律基础</w:t>
      </w:r>
      <w:r>
        <w:rPr>
          <w:rFonts w:ascii="宋体" w:eastAsia="宋体" w:hAnsi="宋体" w:hint="eastAsia"/>
          <w:sz w:val="24"/>
          <w:szCs w:val="24"/>
        </w:rPr>
        <w:t>尚未完全建立，B</w:t>
      </w:r>
      <w:r>
        <w:rPr>
          <w:rFonts w:ascii="宋体" w:eastAsia="宋体" w:hAnsi="宋体"/>
          <w:sz w:val="24"/>
          <w:szCs w:val="24"/>
        </w:rPr>
        <w:t>2B</w:t>
      </w:r>
      <w:r>
        <w:rPr>
          <w:rFonts w:ascii="宋体" w:eastAsia="宋体" w:hAnsi="宋体" w:hint="eastAsia"/>
          <w:sz w:val="24"/>
          <w:szCs w:val="24"/>
        </w:rPr>
        <w:t>与B</w:t>
      </w:r>
      <w:r>
        <w:rPr>
          <w:rFonts w:ascii="宋体" w:eastAsia="宋体" w:hAnsi="宋体"/>
          <w:sz w:val="24"/>
          <w:szCs w:val="24"/>
        </w:rPr>
        <w:t>2C</w:t>
      </w:r>
      <w:r>
        <w:rPr>
          <w:rFonts w:ascii="宋体" w:eastAsia="宋体" w:hAnsi="宋体" w:hint="eastAsia"/>
          <w:sz w:val="24"/>
          <w:szCs w:val="24"/>
        </w:rPr>
        <w:t>模式电子商务会有自身配送体系，但C</w:t>
      </w:r>
      <w:r>
        <w:rPr>
          <w:rFonts w:ascii="宋体" w:eastAsia="宋体" w:hAnsi="宋体"/>
          <w:sz w:val="24"/>
          <w:szCs w:val="24"/>
        </w:rPr>
        <w:t>2C</w:t>
      </w:r>
      <w:r>
        <w:rPr>
          <w:rFonts w:ascii="宋体" w:eastAsia="宋体" w:hAnsi="宋体" w:hint="eastAsia"/>
          <w:sz w:val="24"/>
          <w:szCs w:val="24"/>
        </w:rPr>
        <w:t>及大部分仍主要依靠第三方物流的配送，这在电子商务物流配送中会产生较大的法律问题与纠纷，如贵重商品在物流中的安全性问题及顾客信息在物流中的安全性问题等等，且目前我国这方面法律体系尚未健全。</w:t>
      </w:r>
    </w:p>
    <w:p w14:paraId="672508D9" w14:textId="12181F21" w:rsidR="002724BF" w:rsidRDefault="002724BF" w:rsidP="002724BF">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最后，电子商务</w:t>
      </w:r>
      <w:r w:rsidRPr="0029028F">
        <w:rPr>
          <w:rFonts w:ascii="宋体" w:eastAsia="宋体" w:hAnsi="宋体" w:hint="eastAsia"/>
          <w:b/>
          <w:bCs/>
          <w:sz w:val="24"/>
          <w:szCs w:val="24"/>
        </w:rPr>
        <w:t>物流成本</w:t>
      </w:r>
      <w:r w:rsidR="008C6614" w:rsidRPr="0029028F">
        <w:rPr>
          <w:rFonts w:ascii="宋体" w:eastAsia="宋体" w:hAnsi="宋体" w:hint="eastAsia"/>
          <w:b/>
          <w:bCs/>
          <w:sz w:val="24"/>
          <w:szCs w:val="24"/>
        </w:rPr>
        <w:t>居高不下且物流服务质量不佳</w:t>
      </w:r>
      <w:r w:rsidR="008C6614">
        <w:rPr>
          <w:rFonts w:ascii="宋体" w:eastAsia="宋体" w:hAnsi="宋体" w:hint="eastAsia"/>
          <w:sz w:val="24"/>
          <w:szCs w:val="24"/>
        </w:rPr>
        <w:t>，目前我国C</w:t>
      </w:r>
      <w:r w:rsidR="008C6614">
        <w:rPr>
          <w:rFonts w:ascii="宋体" w:eastAsia="宋体" w:hAnsi="宋体"/>
          <w:sz w:val="24"/>
          <w:szCs w:val="24"/>
        </w:rPr>
        <w:t>2C</w:t>
      </w:r>
      <w:r w:rsidR="008C6614">
        <w:rPr>
          <w:rFonts w:ascii="宋体" w:eastAsia="宋体" w:hAnsi="宋体" w:hint="eastAsia"/>
          <w:sz w:val="24"/>
          <w:szCs w:val="24"/>
        </w:rPr>
        <w:t>类</w:t>
      </w:r>
      <w:r w:rsidR="008C6614">
        <w:rPr>
          <w:rFonts w:ascii="宋体" w:eastAsia="宋体" w:hAnsi="宋体" w:hint="eastAsia"/>
          <w:sz w:val="24"/>
          <w:szCs w:val="24"/>
        </w:rPr>
        <w:lastRenderedPageBreak/>
        <w:t>型电子商务主要依靠第三方物流，而B</w:t>
      </w:r>
      <w:r w:rsidR="008C6614">
        <w:rPr>
          <w:rFonts w:ascii="宋体" w:eastAsia="宋体" w:hAnsi="宋体"/>
          <w:sz w:val="24"/>
          <w:szCs w:val="24"/>
        </w:rPr>
        <w:t>2B</w:t>
      </w:r>
      <w:r w:rsidR="008C6614">
        <w:rPr>
          <w:rFonts w:ascii="宋体" w:eastAsia="宋体" w:hAnsi="宋体" w:hint="eastAsia"/>
          <w:sz w:val="24"/>
          <w:szCs w:val="24"/>
        </w:rPr>
        <w:t>与B</w:t>
      </w:r>
      <w:r w:rsidR="008C6614">
        <w:rPr>
          <w:rFonts w:ascii="宋体" w:eastAsia="宋体" w:hAnsi="宋体"/>
          <w:sz w:val="24"/>
          <w:szCs w:val="24"/>
        </w:rPr>
        <w:t>2C</w:t>
      </w:r>
      <w:r w:rsidR="008C6614">
        <w:rPr>
          <w:rFonts w:ascii="宋体" w:eastAsia="宋体" w:hAnsi="宋体" w:hint="eastAsia"/>
          <w:sz w:val="24"/>
          <w:szCs w:val="24"/>
        </w:rPr>
        <w:t>类型电子商务物流部分依靠企业自身物流配送体系，还有一部分依靠第三方物流。企业自身建设物流配送体系所需要的前期投入比较大，对电子商务企业经济实力有较大的要求，而依靠第三方物流没有形成</w:t>
      </w:r>
      <w:r w:rsidR="007F0CDE">
        <w:rPr>
          <w:rFonts w:ascii="宋体" w:eastAsia="宋体" w:hAnsi="宋体" w:hint="eastAsia"/>
          <w:sz w:val="24"/>
          <w:szCs w:val="24"/>
        </w:rPr>
        <w:t>规模效应以及企业缺乏议价能力，导致目前我国电子商务物流成本都居高不下。而且每天电子商务交易量大导致物流配送周期延长，物流服务质量也不高。</w:t>
      </w:r>
    </w:p>
    <w:p w14:paraId="35265FE7" w14:textId="5267C258" w:rsidR="007F0CDE" w:rsidRDefault="00AF68CA" w:rsidP="00AF68CA">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电子商务物流是一种基于互联网技术的新商业模式，旨在推动物流行业的创新，它通过互联网为物流公司和货主客户提供更广泛的联系、拓展全球业务范围、提供中立、诚信、自由的网上物流交易市场。电子商务时代赋予物流信息化、自动化、网众化、智能化、柔性化和绿色物流等新特点，这标志着物流业正朝着更高效、环保、智能的方向迅速发展，我们应当积极解决</w:t>
      </w:r>
      <w:r w:rsidR="007F0CDE">
        <w:rPr>
          <w:rFonts w:ascii="宋体" w:eastAsia="宋体" w:hAnsi="宋体" w:hint="eastAsia"/>
          <w:sz w:val="24"/>
          <w:szCs w:val="24"/>
        </w:rPr>
        <w:t>关于电子商务物流发展过程中存在的问题，</w:t>
      </w:r>
      <w:r w:rsidRPr="0029028F">
        <w:rPr>
          <w:rFonts w:ascii="宋体" w:eastAsia="宋体" w:hAnsi="宋体" w:hint="eastAsia"/>
          <w:b/>
          <w:bCs/>
          <w:sz w:val="24"/>
          <w:szCs w:val="24"/>
        </w:rPr>
        <w:t>具体做法</w:t>
      </w:r>
      <w:r>
        <w:rPr>
          <w:rFonts w:ascii="宋体" w:eastAsia="宋体" w:hAnsi="宋体" w:hint="eastAsia"/>
          <w:sz w:val="24"/>
          <w:szCs w:val="24"/>
        </w:rPr>
        <w:t>如下：</w:t>
      </w:r>
    </w:p>
    <w:p w14:paraId="22DEB6E3" w14:textId="3EF4204F" w:rsidR="00AF68CA" w:rsidRDefault="00AF68CA" w:rsidP="00AF68CA">
      <w:pPr>
        <w:pStyle w:val="a3"/>
        <w:numPr>
          <w:ilvl w:val="0"/>
          <w:numId w:val="3"/>
        </w:numPr>
        <w:spacing w:line="360" w:lineRule="auto"/>
        <w:ind w:firstLineChars="0"/>
        <w:jc w:val="left"/>
        <w:rPr>
          <w:rFonts w:ascii="宋体" w:eastAsia="宋体" w:hAnsi="宋体"/>
          <w:sz w:val="24"/>
          <w:szCs w:val="24"/>
        </w:rPr>
      </w:pPr>
      <w:r w:rsidRPr="00AF68CA">
        <w:rPr>
          <w:rFonts w:ascii="宋体" w:eastAsia="宋体" w:hAnsi="宋体" w:hint="eastAsia"/>
          <w:sz w:val="24"/>
          <w:szCs w:val="24"/>
        </w:rPr>
        <w:t>电子商务企业与第三方物流企业建立</w:t>
      </w:r>
      <w:r w:rsidRPr="0029028F">
        <w:rPr>
          <w:rFonts w:ascii="宋体" w:eastAsia="宋体" w:hAnsi="宋体" w:hint="eastAsia"/>
          <w:b/>
          <w:bCs/>
          <w:sz w:val="24"/>
          <w:szCs w:val="24"/>
        </w:rPr>
        <w:t>战略合作伙伴关系</w:t>
      </w:r>
    </w:p>
    <w:p w14:paraId="4E8D3D17" w14:textId="09A6E3DA" w:rsidR="00AF68CA" w:rsidRPr="00AF68CA" w:rsidRDefault="00AF68CA" w:rsidP="00AF68CA">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B</w:t>
      </w:r>
      <w:r>
        <w:rPr>
          <w:rFonts w:ascii="宋体" w:eastAsia="宋体" w:hAnsi="宋体"/>
          <w:sz w:val="24"/>
          <w:szCs w:val="24"/>
        </w:rPr>
        <w:t>2B</w:t>
      </w:r>
      <w:r>
        <w:rPr>
          <w:rFonts w:ascii="宋体" w:eastAsia="宋体" w:hAnsi="宋体" w:hint="eastAsia"/>
          <w:sz w:val="24"/>
          <w:szCs w:val="24"/>
        </w:rPr>
        <w:t>、B</w:t>
      </w:r>
      <w:r>
        <w:rPr>
          <w:rFonts w:ascii="宋体" w:eastAsia="宋体" w:hAnsi="宋体"/>
          <w:sz w:val="24"/>
          <w:szCs w:val="24"/>
        </w:rPr>
        <w:t>2C</w:t>
      </w:r>
      <w:r>
        <w:rPr>
          <w:rFonts w:ascii="宋体" w:eastAsia="宋体" w:hAnsi="宋体" w:hint="eastAsia"/>
          <w:sz w:val="24"/>
          <w:szCs w:val="24"/>
        </w:rPr>
        <w:t>类型的电子商务应该积极与第三方企业建立合作关系，使其能专注自身的核心业务，增强企业核心竞争力。C</w:t>
      </w:r>
      <w:r>
        <w:rPr>
          <w:rFonts w:ascii="宋体" w:eastAsia="宋体" w:hAnsi="宋体"/>
          <w:sz w:val="24"/>
          <w:szCs w:val="24"/>
        </w:rPr>
        <w:t>2C</w:t>
      </w:r>
      <w:r>
        <w:rPr>
          <w:rFonts w:ascii="宋体" w:eastAsia="宋体" w:hAnsi="宋体" w:hint="eastAsia"/>
          <w:sz w:val="24"/>
          <w:szCs w:val="24"/>
        </w:rPr>
        <w:t>类型的电子商务企业应将多个企业联合起来，通过规模效应加强与第三方物流企业谈判的话语权，从而降低C</w:t>
      </w:r>
      <w:r>
        <w:rPr>
          <w:rFonts w:ascii="宋体" w:eastAsia="宋体" w:hAnsi="宋体"/>
          <w:sz w:val="24"/>
          <w:szCs w:val="24"/>
        </w:rPr>
        <w:t>2C</w:t>
      </w:r>
      <w:r>
        <w:rPr>
          <w:rFonts w:ascii="宋体" w:eastAsia="宋体" w:hAnsi="宋体" w:hint="eastAsia"/>
          <w:sz w:val="24"/>
          <w:szCs w:val="24"/>
        </w:rPr>
        <w:t>类型的电子商务的物流成本。</w:t>
      </w:r>
    </w:p>
    <w:p w14:paraId="1E6A3B20" w14:textId="55885142" w:rsidR="00AF68CA" w:rsidRDefault="00AF68CA" w:rsidP="00AF68CA">
      <w:pPr>
        <w:pStyle w:val="a3"/>
        <w:numPr>
          <w:ilvl w:val="0"/>
          <w:numId w:val="3"/>
        </w:numPr>
        <w:spacing w:line="360" w:lineRule="auto"/>
        <w:ind w:firstLineChars="0"/>
        <w:jc w:val="left"/>
        <w:rPr>
          <w:rFonts w:ascii="宋体" w:eastAsia="宋体" w:hAnsi="宋体"/>
          <w:sz w:val="24"/>
          <w:szCs w:val="24"/>
        </w:rPr>
      </w:pPr>
      <w:r>
        <w:rPr>
          <w:rFonts w:ascii="宋体" w:eastAsia="宋体" w:hAnsi="宋体" w:hint="eastAsia"/>
          <w:sz w:val="24"/>
          <w:szCs w:val="24"/>
        </w:rPr>
        <w:t>加强</w:t>
      </w:r>
      <w:r w:rsidRPr="0029028F">
        <w:rPr>
          <w:rFonts w:ascii="宋体" w:eastAsia="宋体" w:hAnsi="宋体" w:hint="eastAsia"/>
          <w:b/>
          <w:bCs/>
          <w:sz w:val="24"/>
          <w:szCs w:val="24"/>
        </w:rPr>
        <w:t>信息化建设</w:t>
      </w:r>
      <w:r>
        <w:rPr>
          <w:rFonts w:ascii="宋体" w:eastAsia="宋体" w:hAnsi="宋体" w:hint="eastAsia"/>
          <w:sz w:val="24"/>
          <w:szCs w:val="24"/>
        </w:rPr>
        <w:t>以实现电子商务物流配送过程的精准控制</w:t>
      </w:r>
    </w:p>
    <w:p w14:paraId="7D0AA5E2" w14:textId="6D6DC959" w:rsidR="00AF68CA" w:rsidRPr="00AF68CA" w:rsidRDefault="00AF68CA" w:rsidP="00AF68CA">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对于当前我国电子商务物流信息化程度远远不足的问题，我们应该加强G</w:t>
      </w:r>
      <w:r>
        <w:rPr>
          <w:rFonts w:ascii="宋体" w:eastAsia="宋体" w:hAnsi="宋体"/>
          <w:sz w:val="24"/>
          <w:szCs w:val="24"/>
        </w:rPr>
        <w:t>PS</w:t>
      </w:r>
      <w:r>
        <w:rPr>
          <w:rFonts w:ascii="宋体" w:eastAsia="宋体" w:hAnsi="宋体" w:hint="eastAsia"/>
          <w:sz w:val="24"/>
          <w:szCs w:val="24"/>
        </w:rPr>
        <w:t>和G</w:t>
      </w:r>
      <w:r>
        <w:rPr>
          <w:rFonts w:ascii="宋体" w:eastAsia="宋体" w:hAnsi="宋体"/>
          <w:sz w:val="24"/>
          <w:szCs w:val="24"/>
        </w:rPr>
        <w:t>IS</w:t>
      </w:r>
      <w:r>
        <w:rPr>
          <w:rFonts w:ascii="宋体" w:eastAsia="宋体" w:hAnsi="宋体" w:hint="eastAsia"/>
          <w:sz w:val="24"/>
          <w:szCs w:val="24"/>
        </w:rPr>
        <w:t>等基础设施的建设，实现对电子商务物流配送过程的精准控制，对于提高物流配送过程中的准确性和及时性，提高物流信息的精度，降低电子商务物流成本具有重要意义。</w:t>
      </w:r>
    </w:p>
    <w:p w14:paraId="0FC40968" w14:textId="4DC79A14" w:rsidR="00AF68CA" w:rsidRDefault="00E07498" w:rsidP="00AF68CA">
      <w:pPr>
        <w:pStyle w:val="a3"/>
        <w:numPr>
          <w:ilvl w:val="0"/>
          <w:numId w:val="3"/>
        </w:numPr>
        <w:spacing w:line="360" w:lineRule="auto"/>
        <w:ind w:firstLineChars="0"/>
        <w:jc w:val="left"/>
        <w:rPr>
          <w:rFonts w:ascii="宋体" w:eastAsia="宋体" w:hAnsi="宋体"/>
          <w:sz w:val="24"/>
          <w:szCs w:val="24"/>
        </w:rPr>
      </w:pPr>
      <w:r w:rsidRPr="0029028F">
        <w:rPr>
          <w:rFonts w:ascii="宋体" w:eastAsia="宋体" w:hAnsi="宋体" w:hint="eastAsia"/>
          <w:b/>
          <w:bCs/>
          <w:sz w:val="24"/>
          <w:szCs w:val="24"/>
        </w:rPr>
        <w:t>合理整合与规划不同平台资源</w:t>
      </w:r>
      <w:r>
        <w:rPr>
          <w:rFonts w:ascii="宋体" w:eastAsia="宋体" w:hAnsi="宋体" w:hint="eastAsia"/>
          <w:sz w:val="24"/>
          <w:szCs w:val="24"/>
        </w:rPr>
        <w:t>以提高电子商务物流配送效率</w:t>
      </w:r>
    </w:p>
    <w:p w14:paraId="1D89C6F5" w14:textId="05DD6F9B" w:rsidR="00E07498" w:rsidRDefault="00E07498" w:rsidP="00E07498">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目前我国B</w:t>
      </w:r>
      <w:r>
        <w:rPr>
          <w:rFonts w:ascii="宋体" w:eastAsia="宋体" w:hAnsi="宋体"/>
          <w:sz w:val="24"/>
          <w:szCs w:val="24"/>
        </w:rPr>
        <w:t>2B</w:t>
      </w:r>
      <w:r>
        <w:rPr>
          <w:rFonts w:ascii="宋体" w:eastAsia="宋体" w:hAnsi="宋体" w:hint="eastAsia"/>
          <w:sz w:val="24"/>
          <w:szCs w:val="24"/>
        </w:rPr>
        <w:t>、B</w:t>
      </w:r>
      <w:r>
        <w:rPr>
          <w:rFonts w:ascii="宋体" w:eastAsia="宋体" w:hAnsi="宋体"/>
          <w:sz w:val="24"/>
          <w:szCs w:val="24"/>
        </w:rPr>
        <w:t>2C</w:t>
      </w:r>
      <w:r>
        <w:rPr>
          <w:rFonts w:ascii="宋体" w:eastAsia="宋体" w:hAnsi="宋体" w:hint="eastAsia"/>
          <w:sz w:val="24"/>
          <w:szCs w:val="24"/>
        </w:rPr>
        <w:t>与C</w:t>
      </w:r>
      <w:r>
        <w:rPr>
          <w:rFonts w:ascii="宋体" w:eastAsia="宋体" w:hAnsi="宋体"/>
          <w:sz w:val="24"/>
          <w:szCs w:val="24"/>
        </w:rPr>
        <w:t>2C</w:t>
      </w:r>
      <w:r>
        <w:rPr>
          <w:rFonts w:ascii="宋体" w:eastAsia="宋体" w:hAnsi="宋体" w:hint="eastAsia"/>
          <w:sz w:val="24"/>
          <w:szCs w:val="24"/>
        </w:rPr>
        <w:t>类型的电子商务企业平台众多，第三方物流企业的数量也较多，这导致我国电子商务物流中对向物流数量极为庞大，整合不同平台间资源及电子商务的成交信息可以避免不必要的对向运输和远距离运输，可以节省大量的人力与物力，从而降低物流成本。</w:t>
      </w:r>
    </w:p>
    <w:p w14:paraId="42BA749D" w14:textId="5E48B6ED" w:rsidR="002D579A" w:rsidRDefault="002D579A" w:rsidP="00E07498">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总之，我国电子商务物流</w:t>
      </w:r>
      <w:r w:rsidR="003F15AC">
        <w:rPr>
          <w:rFonts w:ascii="宋体" w:eastAsia="宋体" w:hAnsi="宋体" w:hint="eastAsia"/>
          <w:sz w:val="24"/>
          <w:szCs w:val="24"/>
        </w:rPr>
        <w:t>在科技发展的背景下迅速</w:t>
      </w:r>
      <w:r>
        <w:rPr>
          <w:rFonts w:ascii="宋体" w:eastAsia="宋体" w:hAnsi="宋体" w:hint="eastAsia"/>
          <w:sz w:val="24"/>
          <w:szCs w:val="24"/>
        </w:rPr>
        <w:t>发展</w:t>
      </w:r>
      <w:r w:rsidR="003F15AC">
        <w:rPr>
          <w:rFonts w:ascii="宋体" w:eastAsia="宋体" w:hAnsi="宋体" w:hint="eastAsia"/>
          <w:sz w:val="24"/>
          <w:szCs w:val="24"/>
        </w:rPr>
        <w:t>的同时</w:t>
      </w:r>
      <w:r>
        <w:rPr>
          <w:rFonts w:ascii="宋体" w:eastAsia="宋体" w:hAnsi="宋体" w:hint="eastAsia"/>
          <w:sz w:val="24"/>
          <w:szCs w:val="24"/>
        </w:rPr>
        <w:t>仍然存在着一些问题，物流</w:t>
      </w:r>
      <w:r w:rsidR="003F15AC">
        <w:rPr>
          <w:rFonts w:ascii="宋体" w:eastAsia="宋体" w:hAnsi="宋体" w:hint="eastAsia"/>
          <w:sz w:val="24"/>
          <w:szCs w:val="24"/>
        </w:rPr>
        <w:t>过程的</w:t>
      </w:r>
      <w:r>
        <w:rPr>
          <w:rFonts w:ascii="宋体" w:eastAsia="宋体" w:hAnsi="宋体" w:hint="eastAsia"/>
          <w:sz w:val="24"/>
          <w:szCs w:val="24"/>
        </w:rPr>
        <w:t>高成本也并未</w:t>
      </w:r>
      <w:r w:rsidR="003F15AC">
        <w:rPr>
          <w:rFonts w:ascii="宋体" w:eastAsia="宋体" w:hAnsi="宋体" w:hint="eastAsia"/>
          <w:sz w:val="24"/>
          <w:szCs w:val="24"/>
        </w:rPr>
        <w:t>会给客户</w:t>
      </w:r>
      <w:r>
        <w:rPr>
          <w:rFonts w:ascii="宋体" w:eastAsia="宋体" w:hAnsi="宋体" w:hint="eastAsia"/>
          <w:sz w:val="24"/>
          <w:szCs w:val="24"/>
        </w:rPr>
        <w:t>带来更高的服务质量</w:t>
      </w:r>
      <w:r w:rsidR="003F15AC">
        <w:rPr>
          <w:rFonts w:ascii="宋体" w:eastAsia="宋体" w:hAnsi="宋体" w:hint="eastAsia"/>
          <w:sz w:val="24"/>
          <w:szCs w:val="24"/>
        </w:rPr>
        <w:t>，并未会提</w:t>
      </w:r>
      <w:r w:rsidR="003F15AC">
        <w:rPr>
          <w:rFonts w:ascii="宋体" w:eastAsia="宋体" w:hAnsi="宋体" w:hint="eastAsia"/>
          <w:sz w:val="24"/>
          <w:szCs w:val="24"/>
        </w:rPr>
        <w:lastRenderedPageBreak/>
        <w:t>高工作人员的服务水平</w:t>
      </w:r>
      <w:r>
        <w:rPr>
          <w:rFonts w:ascii="宋体" w:eastAsia="宋体" w:hAnsi="宋体" w:hint="eastAsia"/>
          <w:sz w:val="24"/>
          <w:szCs w:val="24"/>
        </w:rPr>
        <w:t>，与发达国家相比，我国服务业无论是在生产总值还是从业人员数量与质量上均有较大的差距，我们需要从物流成本、法律基础建设</w:t>
      </w:r>
      <w:r w:rsidR="003F15AC">
        <w:rPr>
          <w:rFonts w:ascii="宋体" w:eastAsia="宋体" w:hAnsi="宋体" w:hint="eastAsia"/>
          <w:sz w:val="24"/>
          <w:szCs w:val="24"/>
        </w:rPr>
        <w:t>、从业人员筛选培训</w:t>
      </w:r>
      <w:r>
        <w:rPr>
          <w:rFonts w:ascii="宋体" w:eastAsia="宋体" w:hAnsi="宋体" w:hint="eastAsia"/>
          <w:sz w:val="24"/>
          <w:szCs w:val="24"/>
        </w:rPr>
        <w:t>与信息化发展等多个角度共同改善发展，</w:t>
      </w:r>
      <w:r w:rsidR="003F15AC">
        <w:rPr>
          <w:rFonts w:ascii="宋体" w:eastAsia="宋体" w:hAnsi="宋体" w:hint="eastAsia"/>
          <w:sz w:val="24"/>
          <w:szCs w:val="24"/>
        </w:rPr>
        <w:t>减低我国物流成本的同时促进我国物流服务水平和质量的提高，进而</w:t>
      </w:r>
      <w:r>
        <w:rPr>
          <w:rFonts w:ascii="宋体" w:eastAsia="宋体" w:hAnsi="宋体" w:hint="eastAsia"/>
          <w:sz w:val="24"/>
          <w:szCs w:val="24"/>
        </w:rPr>
        <w:t>促进我国电子商务物流的进一步发展。</w:t>
      </w:r>
    </w:p>
    <w:p w14:paraId="654E0391" w14:textId="77777777" w:rsidR="00450461" w:rsidRDefault="00450461" w:rsidP="00450461">
      <w:pPr>
        <w:spacing w:line="360" w:lineRule="auto"/>
        <w:jc w:val="left"/>
        <w:rPr>
          <w:rFonts w:ascii="宋体" w:eastAsia="宋体" w:hAnsi="宋体"/>
          <w:sz w:val="24"/>
          <w:szCs w:val="24"/>
        </w:rPr>
      </w:pPr>
    </w:p>
    <w:p w14:paraId="7875F4BE" w14:textId="17263349" w:rsidR="00450461" w:rsidRDefault="00450461" w:rsidP="00450461">
      <w:pPr>
        <w:spacing w:line="360" w:lineRule="auto"/>
        <w:jc w:val="left"/>
        <w:rPr>
          <w:rFonts w:ascii="宋体" w:eastAsia="宋体" w:hAnsi="宋体"/>
          <w:sz w:val="24"/>
          <w:szCs w:val="24"/>
        </w:rPr>
      </w:pPr>
      <w:r>
        <w:rPr>
          <w:rFonts w:ascii="微软雅黑" w:eastAsia="微软雅黑" w:hAnsi="微软雅黑" w:hint="eastAsia"/>
          <w:color w:val="666666"/>
          <w:sz w:val="18"/>
          <w:szCs w:val="18"/>
          <w:shd w:val="clear" w:color="auto" w:fill="FFFFFF"/>
        </w:rPr>
        <w:t>[1]蒋媛媛.B2B、B2C和C2C电子商务物流的问题与对策研究[J].商业经济研究,2018,(09):94-96.</w:t>
      </w:r>
    </w:p>
    <w:p w14:paraId="1CFA7F8F" w14:textId="77777777" w:rsidR="002D579A" w:rsidRDefault="002D579A">
      <w:pPr>
        <w:widowControl/>
        <w:jc w:val="left"/>
        <w:rPr>
          <w:rFonts w:ascii="宋体" w:eastAsia="宋体" w:hAnsi="宋体"/>
          <w:sz w:val="24"/>
          <w:szCs w:val="24"/>
        </w:rPr>
      </w:pPr>
      <w:r>
        <w:rPr>
          <w:rFonts w:ascii="宋体" w:eastAsia="宋体" w:hAnsi="宋体"/>
          <w:sz w:val="24"/>
          <w:szCs w:val="24"/>
        </w:rPr>
        <w:br w:type="page"/>
      </w:r>
    </w:p>
    <w:p w14:paraId="3CFE198C" w14:textId="5C6EB243" w:rsidR="002D579A" w:rsidRDefault="002D579A" w:rsidP="002D579A">
      <w:pPr>
        <w:spacing w:line="360" w:lineRule="auto"/>
        <w:ind w:firstLineChars="200" w:firstLine="643"/>
        <w:jc w:val="center"/>
        <w:rPr>
          <w:rFonts w:ascii="宋体" w:eastAsia="宋体" w:hAnsi="宋体"/>
          <w:b/>
          <w:bCs/>
          <w:sz w:val="32"/>
          <w:szCs w:val="32"/>
        </w:rPr>
      </w:pPr>
      <w:r>
        <w:rPr>
          <w:rFonts w:ascii="宋体" w:eastAsia="宋体" w:hAnsi="宋体" w:hint="eastAsia"/>
          <w:b/>
          <w:bCs/>
          <w:sz w:val="32"/>
          <w:szCs w:val="32"/>
        </w:rPr>
        <w:lastRenderedPageBreak/>
        <w:t>（五）</w:t>
      </w:r>
    </w:p>
    <w:p w14:paraId="7ACC0D2D" w14:textId="77777777" w:rsidR="00375F41" w:rsidRDefault="00375F41" w:rsidP="00375F41">
      <w:pPr>
        <w:spacing w:line="360" w:lineRule="auto"/>
        <w:ind w:firstLineChars="200" w:firstLine="562"/>
        <w:jc w:val="center"/>
        <w:rPr>
          <w:rFonts w:ascii="宋体" w:eastAsia="宋体" w:hAnsi="宋体"/>
          <w:b/>
          <w:bCs/>
          <w:sz w:val="28"/>
          <w:szCs w:val="28"/>
        </w:rPr>
      </w:pPr>
      <w:r>
        <w:rPr>
          <w:rFonts w:ascii="宋体" w:eastAsia="宋体" w:hAnsi="宋体" w:hint="eastAsia"/>
          <w:b/>
          <w:bCs/>
          <w:sz w:val="28"/>
          <w:szCs w:val="28"/>
        </w:rPr>
        <w:t>生鲜电商“最后一公里”众包配送模式</w:t>
      </w:r>
    </w:p>
    <w:p w14:paraId="6D4E00DB" w14:textId="410A377A" w:rsidR="00375F41" w:rsidRDefault="00375F41" w:rsidP="00375F41">
      <w:pPr>
        <w:spacing w:line="360" w:lineRule="auto"/>
        <w:ind w:firstLineChars="200" w:firstLine="480"/>
        <w:jc w:val="left"/>
        <w:rPr>
          <w:rFonts w:ascii="宋体" w:eastAsia="宋体" w:hAnsi="宋体"/>
          <w:sz w:val="24"/>
          <w:szCs w:val="24"/>
        </w:rPr>
      </w:pPr>
      <w:r w:rsidRPr="00375F41">
        <w:rPr>
          <w:rFonts w:ascii="宋体" w:eastAsia="宋体" w:hAnsi="宋体" w:hint="eastAsia"/>
          <w:sz w:val="24"/>
          <w:szCs w:val="24"/>
        </w:rPr>
        <w:t>我国是全球最大的生鲜农产品生产国和消费国，自2011年来，生鲜产品交易量呈上升趋势，并于2013年后保持相对稳定的增速。生鲜产品电子商务的快速发展进一步促进消费者的消费需求，客户端对冷链配送的期待已进入“分钟级”时代，给生鲜电商冷链物流的发展带来了巨大挑战。</w:t>
      </w:r>
    </w:p>
    <w:p w14:paraId="3B4A85D5" w14:textId="3B7B946C" w:rsidR="00375F41" w:rsidRDefault="00375F41" w:rsidP="00375F41">
      <w:pPr>
        <w:spacing w:line="360" w:lineRule="auto"/>
        <w:ind w:firstLineChars="200" w:firstLine="482"/>
        <w:jc w:val="left"/>
        <w:rPr>
          <w:rFonts w:ascii="宋体" w:eastAsia="宋体" w:hAnsi="宋体"/>
          <w:sz w:val="24"/>
          <w:szCs w:val="24"/>
        </w:rPr>
      </w:pPr>
      <w:r w:rsidRPr="00441BD1">
        <w:rPr>
          <w:rFonts w:ascii="宋体" w:eastAsia="宋体" w:hAnsi="宋体" w:hint="eastAsia"/>
          <w:b/>
          <w:bCs/>
          <w:sz w:val="24"/>
          <w:szCs w:val="24"/>
        </w:rPr>
        <w:t>“最后一公里”配送</w:t>
      </w:r>
      <w:r>
        <w:rPr>
          <w:rFonts w:ascii="宋体" w:eastAsia="宋体" w:hAnsi="宋体" w:hint="eastAsia"/>
          <w:sz w:val="24"/>
          <w:szCs w:val="24"/>
        </w:rPr>
        <w:t>是指客户提供电子商务途径购物后，购买的物品被配送到配送点后，从一个分拣中心，通过一定的运输工具，将货物送到客户手中，实现门到门的服务。配送的“最后一公里”并不是真正的一公里，是指从物流分拣中心到客户手中这一段距离，通过运输工具将货物送到客户手中的过程。由于属于短距离，故称之为一公里配送。这一短距离配送，是整个物流环节的末端环节，也是唯一直接和客户面对面接触的环节，现阶段电子商务物流“最后一公里”配送模式主要有送货上门、自主收发箱和顾客自提站三种。</w:t>
      </w:r>
    </w:p>
    <w:p w14:paraId="67AB5D7E" w14:textId="3A8A783C" w:rsidR="002C5AAC" w:rsidRDefault="002C5AAC" w:rsidP="002C5AAC">
      <w:pPr>
        <w:spacing w:line="360" w:lineRule="auto"/>
        <w:ind w:firstLineChars="200" w:firstLine="420"/>
        <w:jc w:val="left"/>
        <w:rPr>
          <w:rFonts w:ascii="宋体" w:eastAsia="宋体" w:hAnsi="宋体"/>
          <w:sz w:val="24"/>
          <w:szCs w:val="24"/>
        </w:rPr>
      </w:pPr>
      <w:r>
        <w:rPr>
          <w:noProof/>
        </w:rPr>
        <mc:AlternateContent>
          <mc:Choice Requires="wps">
            <w:drawing>
              <wp:anchor distT="0" distB="0" distL="114300" distR="114300" simplePos="0" relativeHeight="251664384" behindDoc="0" locked="0" layoutInCell="1" allowOverlap="1" wp14:anchorId="74EB5FC5" wp14:editId="20226FF7">
                <wp:simplePos x="0" y="0"/>
                <wp:positionH relativeFrom="margin">
                  <wp:align>center</wp:align>
                </wp:positionH>
                <wp:positionV relativeFrom="paragraph">
                  <wp:posOffset>4332605</wp:posOffset>
                </wp:positionV>
                <wp:extent cx="4921250" cy="635"/>
                <wp:effectExtent l="0" t="0" r="0" b="0"/>
                <wp:wrapSquare wrapText="bothSides"/>
                <wp:docPr id="383418515" name="文本框 1"/>
                <wp:cNvGraphicFramePr/>
                <a:graphic xmlns:a="http://schemas.openxmlformats.org/drawingml/2006/main">
                  <a:graphicData uri="http://schemas.microsoft.com/office/word/2010/wordprocessingShape">
                    <wps:wsp>
                      <wps:cNvSpPr txBox="1"/>
                      <wps:spPr>
                        <a:xfrm>
                          <a:off x="0" y="0"/>
                          <a:ext cx="4921250" cy="635"/>
                        </a:xfrm>
                        <a:prstGeom prst="rect">
                          <a:avLst/>
                        </a:prstGeom>
                        <a:solidFill>
                          <a:prstClr val="white"/>
                        </a:solidFill>
                        <a:ln>
                          <a:noFill/>
                        </a:ln>
                      </wps:spPr>
                      <wps:txbx>
                        <w:txbxContent>
                          <w:p w14:paraId="35B216BD" w14:textId="0D326B40" w:rsidR="002C5AAC" w:rsidRPr="00345010" w:rsidRDefault="002C5AAC" w:rsidP="002C5AAC">
                            <w:pPr>
                              <w:pStyle w:val="a4"/>
                              <w:jc w:val="center"/>
                              <w:rPr>
                                <w:rFonts w:ascii="微软雅黑" w:eastAsia="微软雅黑" w:hAnsi="微软雅黑"/>
                                <w:b/>
                                <w:bCs/>
                                <w:noProof/>
                              </w:rPr>
                            </w:pPr>
                            <w:r w:rsidRPr="00345010">
                              <w:rPr>
                                <w:rFonts w:ascii="微软雅黑" w:eastAsia="微软雅黑" w:hAnsi="微软雅黑" w:hint="eastAsia"/>
                              </w:rPr>
                              <w:t>图</w:t>
                            </w:r>
                            <w:r w:rsidR="00345010" w:rsidRPr="00345010">
                              <w:rPr>
                                <w:rFonts w:ascii="微软雅黑" w:eastAsia="微软雅黑" w:hAnsi="微软雅黑"/>
                              </w:rPr>
                              <w:t>5</w:t>
                            </w:r>
                            <w:r w:rsidRPr="00345010">
                              <w:rPr>
                                <w:rFonts w:ascii="微软雅黑" w:eastAsia="微软雅黑" w:hAnsi="微软雅黑"/>
                              </w:rPr>
                              <w:t xml:space="preserve"> 众包</w:t>
                            </w:r>
                            <w:r w:rsidRPr="00345010">
                              <w:rPr>
                                <w:rFonts w:ascii="微软雅黑" w:eastAsia="微软雅黑" w:hAnsi="微软雅黑" w:hint="eastAsia"/>
                              </w:rPr>
                              <w:t>配送</w:t>
                            </w:r>
                            <w:r w:rsidRPr="00345010">
                              <w:rPr>
                                <w:rFonts w:ascii="微软雅黑" w:eastAsia="微软雅黑" w:hAnsi="微软雅黑"/>
                              </w:rPr>
                              <w:t>运作流程图</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 w14:anchorId="74EB5FC5" id="_x0000_s1030" type="#_x0000_t202" style="position:absolute;left:0;text-align:left;margin-left:0;margin-top:341.15pt;width:387.5pt;height:.05pt;z-index:25166438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" stroked="f">
                <v:textbox style="mso-fit-shape-to-text:t" inset="0,0,0,0">
                  <w:txbxContent>
                    <w:p w14:paraId="35B216BD" w14:textId="0D326B40" w:rsidR="002C5AAC" w:rsidRPr="00345010" w:rsidRDefault="002C5AAC" w:rsidP="002C5AAC">
                      <w:pPr>
                        <w:pStyle w:val="a4"/>
                        <w:jc w:val="center"/>
                        <w:rPr>
                          <w:rFonts w:ascii="微软雅黑" w:eastAsia="微软雅黑" w:hAnsi="微软雅黑"/>
                          <w:b/>
                          <w:bCs/>
                          <w:noProof/>
                        </w:rPr>
                      </w:pPr>
                      <w:r w:rsidRPr="00345010">
                        <w:rPr>
                          <w:rFonts w:ascii="微软雅黑" w:eastAsia="微软雅黑" w:hAnsi="微软雅黑" w:hint="eastAsia"/>
                        </w:rPr>
                        <w:t>图</w:t>
                      </w:r>
                      <w:r w:rsidR="00345010" w:rsidRPr="00345010">
                        <w:rPr>
                          <w:rFonts w:ascii="微软雅黑" w:eastAsia="微软雅黑" w:hAnsi="微软雅黑"/>
                        </w:rPr>
                        <w:t>5</w:t>
                      </w:r>
                      <w:r w:rsidRPr="00345010">
                        <w:rPr>
                          <w:rFonts w:ascii="微软雅黑" w:eastAsia="微软雅黑" w:hAnsi="微软雅黑"/>
                        </w:rPr>
                        <w:t xml:space="preserve"> 众包</w:t>
                      </w:r>
                      <w:r w:rsidRPr="00345010">
                        <w:rPr>
                          <w:rFonts w:ascii="微软雅黑" w:eastAsia="微软雅黑" w:hAnsi="微软雅黑" w:hint="eastAsia"/>
                        </w:rPr>
                        <w:t>配送</w:t>
                      </w:r>
                      <w:r w:rsidRPr="00345010">
                        <w:rPr>
                          <w:rFonts w:ascii="微软雅黑" w:eastAsia="微软雅黑" w:hAnsi="微软雅黑"/>
                        </w:rPr>
                        <w:t>运作流程图</w:t>
                      </w:r>
                    </w:p>
                  </w:txbxContent>
                </v:textbox>
                <w10:wrap type="square" anchorx="margin"/>
              </v:shape>
            </w:pict>
          </mc:Fallback>
        </mc:AlternateContent>
      </w:r>
      <w:r>
        <w:rPr>
          <w:rFonts w:ascii="宋体" w:eastAsia="宋体" w:hAnsi="宋体" w:hint="eastAsia"/>
          <w:b/>
          <w:bCs/>
          <w:noProof/>
          <w:sz w:val="28"/>
          <w:szCs w:val="28"/>
        </w:rPr>
        <w:drawing>
          <wp:anchor distT="0" distB="0" distL="114300" distR="114300" simplePos="0" relativeHeight="251662336" behindDoc="0" locked="0" layoutInCell="1" allowOverlap="1" wp14:anchorId="54BFA425" wp14:editId="3FF2B8C2">
            <wp:simplePos x="0" y="0"/>
            <wp:positionH relativeFrom="margin">
              <wp:align>center</wp:align>
            </wp:positionH>
            <wp:positionV relativeFrom="paragraph">
              <wp:posOffset>1818640</wp:posOffset>
            </wp:positionV>
            <wp:extent cx="4921250" cy="2565400"/>
            <wp:effectExtent l="0" t="0" r="0" b="6350"/>
            <wp:wrapSquare wrapText="bothSides"/>
            <wp:docPr id="6769782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978231" name="图片 676978231"/>
                    <pic:cNvPicPr/>
                  </pic:nvPicPr>
                  <pic:blipFill>
                    <a:blip r:embed="rId10">
                      <a:extLst>
                        <a:ext uri="{28A0092B-C50C-407E-A947-70E740481C1C}">
                          <a14:useLocalDpi xmlns:a14="http://schemas.microsoft.com/office/drawing/2010/main" val="0"/>
                        </a:ext>
                      </a:extLst>
                    </a:blip>
                    <a:stretch>
                      <a:fillRect/>
                    </a:stretch>
                  </pic:blipFill>
                  <pic:spPr>
                    <a:xfrm>
                      <a:off x="0" y="0"/>
                      <a:ext cx="4921250" cy="2565400"/>
                    </a:xfrm>
                    <a:prstGeom prst="rect">
                      <a:avLst/>
                    </a:prstGeom>
                  </pic:spPr>
                </pic:pic>
              </a:graphicData>
            </a:graphic>
            <wp14:sizeRelH relativeFrom="margin">
              <wp14:pctWidth>0</wp14:pctWidth>
            </wp14:sizeRelH>
            <wp14:sizeRelV relativeFrom="margin">
              <wp14:pctHeight>0</wp14:pctHeight>
            </wp14:sizeRelV>
          </wp:anchor>
        </w:drawing>
      </w:r>
      <w:r w:rsidR="00772C33">
        <w:rPr>
          <w:rFonts w:ascii="宋体" w:eastAsia="宋体" w:hAnsi="宋体" w:hint="eastAsia"/>
          <w:sz w:val="24"/>
          <w:szCs w:val="24"/>
        </w:rPr>
        <w:t>对于生鲜电商这一特殊行业，传统生鲜电商配送模式不仅成本高昂，商品的质量和新鲜度也难以保证，生鲜产品需在适宜的温度下进行运输和储存，一般来说，生鲜产品的配送距离都比较长，且需要在较短的时间内送达，传统配送模式无法给顾客提供较高的服务质量。众包配送模式恰恰可以解决生鲜电商“最后一公里”的问题，</w:t>
      </w:r>
      <w:r w:rsidRPr="00441BD1">
        <w:rPr>
          <w:rFonts w:ascii="宋体" w:eastAsia="宋体" w:hAnsi="宋体" w:hint="eastAsia"/>
          <w:b/>
          <w:bCs/>
          <w:sz w:val="24"/>
          <w:szCs w:val="24"/>
        </w:rPr>
        <w:t>众包配送</w:t>
      </w:r>
      <w:r>
        <w:rPr>
          <w:rFonts w:ascii="宋体" w:eastAsia="宋体" w:hAnsi="宋体" w:hint="eastAsia"/>
          <w:sz w:val="24"/>
          <w:szCs w:val="24"/>
        </w:rPr>
        <w:t>是一种基于共享经济模式的配送方式，它通过将配送任务分散给这些个体配送员来完成。众包配送的原理是将订单通过配</w:t>
      </w:r>
      <w:r>
        <w:rPr>
          <w:rFonts w:ascii="宋体" w:eastAsia="宋体" w:hAnsi="宋体" w:hint="eastAsia"/>
          <w:sz w:val="24"/>
          <w:szCs w:val="24"/>
        </w:rPr>
        <w:lastRenderedPageBreak/>
        <w:t>送平台或应用程序分配给合适的配送员，配送员根据自身的时间和地理位置接受订单，然后从商家处取货，并送达消费者，其运作流程如图2。</w:t>
      </w:r>
    </w:p>
    <w:p w14:paraId="69F82A41" w14:textId="520AAEF5" w:rsidR="002C5AAC" w:rsidRDefault="00474F80" w:rsidP="002C5AAC">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近几年众包配送得到了快速发展，越来越多的众包配送平台随着共享经济的兴起开始涌现出来，这些平台以提供配送服务为核心吸引了大量的注册配送员与商家，且随着信息技术的不断进步，这些众包配送平台不断引入新技术进行创新来提升用户体验与配送效率，在</w:t>
      </w:r>
      <w:r w:rsidRPr="00441BD1">
        <w:rPr>
          <w:rFonts w:ascii="宋体" w:eastAsia="宋体" w:hAnsi="宋体" w:hint="eastAsia"/>
          <w:b/>
          <w:bCs/>
          <w:sz w:val="24"/>
          <w:szCs w:val="24"/>
        </w:rPr>
        <w:t>生鲜电商领域运用众包配送的优势</w:t>
      </w:r>
      <w:r>
        <w:rPr>
          <w:rFonts w:ascii="宋体" w:eastAsia="宋体" w:hAnsi="宋体" w:hint="eastAsia"/>
          <w:sz w:val="24"/>
          <w:szCs w:val="24"/>
        </w:rPr>
        <w:t>主要体现在以下方面：</w:t>
      </w:r>
    </w:p>
    <w:p w14:paraId="72503C34" w14:textId="77777777" w:rsidR="00474F80" w:rsidRDefault="00474F80" w:rsidP="00474F80">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一是</w:t>
      </w:r>
      <w:r w:rsidRPr="00474F80">
        <w:rPr>
          <w:rFonts w:ascii="宋体" w:eastAsia="宋体" w:hAnsi="宋体" w:hint="eastAsia"/>
          <w:sz w:val="24"/>
          <w:szCs w:val="24"/>
        </w:rPr>
        <w:t>提高配送效率的同时降低配送成本。众包配送通过大量配送员可以将任务分散给多个个体，从而实现更快速相应订单，并通过合理的任务分配与路线规划来提高配送效率，以分成或提成的形式向注册配送员支付报酬，降低了配送成本与平台的运营成本。</w:t>
      </w:r>
    </w:p>
    <w:p w14:paraId="3327B26F" w14:textId="72C661C1" w:rsidR="00474F80" w:rsidRDefault="00474F80" w:rsidP="00474F80">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二是扩</w:t>
      </w:r>
      <w:r w:rsidRPr="00474F80">
        <w:rPr>
          <w:rFonts w:ascii="宋体" w:eastAsia="宋体" w:hAnsi="宋体" w:hint="eastAsia"/>
          <w:sz w:val="24"/>
          <w:szCs w:val="24"/>
        </w:rPr>
        <w:t>大了配送范围与服务范围，较传统生鲜电商配送模式而言，能够尽量保证生鲜产品的质量与新鲜程度</w:t>
      </w:r>
      <w:r>
        <w:rPr>
          <w:rFonts w:ascii="宋体" w:eastAsia="宋体" w:hAnsi="宋体" w:hint="eastAsia"/>
          <w:sz w:val="24"/>
          <w:szCs w:val="24"/>
        </w:rPr>
        <w:t>。众包配送模式可以将更多的注册配送员覆盖到不同地区，扩大商品的配送范围。同时，众包配送平台通常也会提供多元化的服务，如外卖、药品配送、快递等，能够满足更多行业和商家的配送需求。</w:t>
      </w:r>
    </w:p>
    <w:p w14:paraId="23566A36" w14:textId="5FB84D28" w:rsidR="004F7C48" w:rsidRDefault="00474F80" w:rsidP="00474F80">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当然，</w:t>
      </w:r>
      <w:r w:rsidR="004A665F">
        <w:rPr>
          <w:rFonts w:ascii="宋体" w:eastAsia="宋体" w:hAnsi="宋体" w:hint="eastAsia"/>
          <w:sz w:val="24"/>
          <w:szCs w:val="24"/>
        </w:rPr>
        <w:t>众包配送在把握发展机遇的同时也应看到所面临的挑战，首先，众包配送模式中的注册配送员的素质参差不齐，需要通过培训或筛选机制来不断提升配送员的综合素质；其次，众包配送面临着平台信用与监管问题，需要建立可靠的信用评价机制来评估配送员的服务质量与信誉程度，需要遵守法律制度以保障消费者权益与维护市场秩序；最后，随着众包配送模式的竞争日益激烈，不同众包配送模式平台应该积极创新，通过提供优质化的服务来实现自身市场份额的扩大。真正做到把握机遇与挑战，为生鲜电商的“最后一公里”问题以及物流行业提供优质服务。</w:t>
      </w:r>
    </w:p>
    <w:p w14:paraId="07775B0C" w14:textId="77777777" w:rsidR="00623322" w:rsidRDefault="00623322" w:rsidP="00623322">
      <w:pPr>
        <w:spacing w:line="360" w:lineRule="auto"/>
        <w:jc w:val="left"/>
        <w:rPr>
          <w:rFonts w:ascii="宋体" w:eastAsia="宋体" w:hAnsi="宋体"/>
          <w:sz w:val="24"/>
          <w:szCs w:val="24"/>
        </w:rPr>
      </w:pPr>
    </w:p>
    <w:p w14:paraId="741411B9" w14:textId="19E8A9ED" w:rsidR="00623322" w:rsidRDefault="00623322" w:rsidP="00623322">
      <w:pPr>
        <w:spacing w:line="360" w:lineRule="auto"/>
        <w:jc w:val="left"/>
        <w:rPr>
          <w:rFonts w:ascii="微软雅黑" w:eastAsia="微软雅黑" w:hAnsi="微软雅黑"/>
          <w:color w:val="666666"/>
          <w:sz w:val="18"/>
          <w:szCs w:val="18"/>
          <w:shd w:val="clear" w:color="auto" w:fill="FFFFFF"/>
        </w:rPr>
      </w:pPr>
      <w:r>
        <w:rPr>
          <w:rFonts w:ascii="微软雅黑" w:eastAsia="微软雅黑" w:hAnsi="微软雅黑" w:hint="eastAsia"/>
          <w:color w:val="666666"/>
          <w:sz w:val="18"/>
          <w:szCs w:val="18"/>
          <w:shd w:val="clear" w:color="auto" w:fill="FFFFFF"/>
        </w:rPr>
        <w:t>[1]李娜.生鲜电商“最后一公里”众包配送模式研究[J].物流科技,2023,46(22):24-28.DOI:10.13714/j.cnki.1002-3100.2023.22.006</w:t>
      </w:r>
    </w:p>
    <w:p w14:paraId="14C620D4" w14:textId="7AB30339" w:rsidR="00623322" w:rsidRDefault="00623322" w:rsidP="00623322">
      <w:pPr>
        <w:spacing w:line="360" w:lineRule="auto"/>
        <w:jc w:val="left"/>
        <w:rPr>
          <w:rFonts w:ascii="宋体" w:eastAsia="宋体" w:hAnsi="宋体"/>
          <w:sz w:val="24"/>
          <w:szCs w:val="24"/>
        </w:rPr>
      </w:pPr>
      <w:r>
        <w:rPr>
          <w:rFonts w:ascii="微软雅黑" w:eastAsia="微软雅黑" w:hAnsi="微软雅黑" w:hint="eastAsia"/>
          <w:color w:val="666666"/>
          <w:sz w:val="18"/>
          <w:szCs w:val="18"/>
          <w:shd w:val="clear" w:color="auto" w:fill="FFFFFF"/>
        </w:rPr>
        <w:t>[2]张婧,张源.数字经济下生鲜电商物流发展及对策研究——以盒马鲜生为例[J].中国物流与采购,2023,(10):41-42.DOI:10.16079/j.cnki.issn1671-6663.2023.10.032</w:t>
      </w:r>
    </w:p>
    <w:p w14:paraId="3C74D903" w14:textId="77777777" w:rsidR="004F7C48" w:rsidRDefault="004F7C48">
      <w:pPr>
        <w:widowControl/>
        <w:jc w:val="left"/>
        <w:rPr>
          <w:rFonts w:ascii="宋体" w:eastAsia="宋体" w:hAnsi="宋体"/>
          <w:sz w:val="24"/>
          <w:szCs w:val="24"/>
        </w:rPr>
      </w:pPr>
      <w:r>
        <w:rPr>
          <w:rFonts w:ascii="宋体" w:eastAsia="宋体" w:hAnsi="宋体"/>
          <w:sz w:val="24"/>
          <w:szCs w:val="24"/>
        </w:rPr>
        <w:br w:type="page"/>
      </w:r>
    </w:p>
    <w:p w14:paraId="5364DE7D" w14:textId="6F2C664A" w:rsidR="00474F80" w:rsidRDefault="004F7C48" w:rsidP="004F7C48">
      <w:pPr>
        <w:spacing w:line="360" w:lineRule="auto"/>
        <w:ind w:firstLineChars="200" w:firstLine="643"/>
        <w:jc w:val="center"/>
        <w:rPr>
          <w:rFonts w:ascii="宋体" w:eastAsia="宋体" w:hAnsi="宋体"/>
          <w:b/>
          <w:bCs/>
          <w:sz w:val="32"/>
          <w:szCs w:val="32"/>
        </w:rPr>
      </w:pPr>
      <w:r>
        <w:rPr>
          <w:rFonts w:ascii="宋体" w:eastAsia="宋体" w:hAnsi="宋体" w:hint="eastAsia"/>
          <w:b/>
          <w:bCs/>
          <w:sz w:val="32"/>
          <w:szCs w:val="32"/>
        </w:rPr>
        <w:lastRenderedPageBreak/>
        <w:t>（六）</w:t>
      </w:r>
    </w:p>
    <w:p w14:paraId="2CA78551" w14:textId="3C1B7F01" w:rsidR="004F7C48" w:rsidRDefault="004F7C48" w:rsidP="004F7C48">
      <w:pPr>
        <w:spacing w:line="360" w:lineRule="auto"/>
        <w:ind w:firstLineChars="200" w:firstLine="562"/>
        <w:jc w:val="center"/>
        <w:rPr>
          <w:rFonts w:ascii="宋体" w:eastAsia="宋体" w:hAnsi="宋体"/>
          <w:b/>
          <w:bCs/>
          <w:sz w:val="28"/>
          <w:szCs w:val="28"/>
        </w:rPr>
      </w:pPr>
      <w:r>
        <w:rPr>
          <w:rFonts w:ascii="宋体" w:eastAsia="宋体" w:hAnsi="宋体" w:hint="eastAsia"/>
          <w:b/>
          <w:bCs/>
          <w:sz w:val="28"/>
          <w:szCs w:val="28"/>
        </w:rPr>
        <w:t>华为芯片断供问题</w:t>
      </w:r>
    </w:p>
    <w:p w14:paraId="31E5875E" w14:textId="3E6386E0" w:rsidR="00B424CC" w:rsidRDefault="00B424CC" w:rsidP="00B424CC">
      <w:pPr>
        <w:spacing w:line="360" w:lineRule="auto"/>
        <w:ind w:firstLineChars="200" w:firstLine="420"/>
        <w:jc w:val="left"/>
        <w:rPr>
          <w:rFonts w:ascii="宋体" w:eastAsia="宋体" w:hAnsi="宋体"/>
          <w:sz w:val="24"/>
          <w:szCs w:val="24"/>
        </w:rPr>
      </w:pPr>
      <w:r>
        <w:rPr>
          <w:noProof/>
        </w:rPr>
        <mc:AlternateContent>
          <mc:Choice Requires="wps">
            <w:drawing>
              <wp:anchor distT="0" distB="0" distL="114300" distR="114300" simplePos="0" relativeHeight="251680768" behindDoc="0" locked="0" layoutInCell="1" allowOverlap="1" wp14:anchorId="40DCB1C0" wp14:editId="36E098B5">
                <wp:simplePos x="0" y="0"/>
                <wp:positionH relativeFrom="column">
                  <wp:posOffset>227330</wp:posOffset>
                </wp:positionH>
                <wp:positionV relativeFrom="paragraph">
                  <wp:posOffset>4349115</wp:posOffset>
                </wp:positionV>
                <wp:extent cx="4810125" cy="635"/>
                <wp:effectExtent l="0" t="0" r="0" b="0"/>
                <wp:wrapSquare wrapText="bothSides"/>
                <wp:docPr id="288074879" name="文本框 1"/>
                <wp:cNvGraphicFramePr/>
                <a:graphic xmlns:a="http://schemas.openxmlformats.org/drawingml/2006/main">
                  <a:graphicData uri="http://schemas.microsoft.com/office/word/2010/wordprocessingShape">
                    <wps:wsp>
                      <wps:cNvSpPr txBox="1"/>
                      <wps:spPr>
                        <a:xfrm>
                          <a:off x="0" y="0"/>
                          <a:ext cx="4810125" cy="635"/>
                        </a:xfrm>
                        <a:prstGeom prst="rect">
                          <a:avLst/>
                        </a:prstGeom>
                        <a:solidFill>
                          <a:prstClr val="white"/>
                        </a:solidFill>
                        <a:ln>
                          <a:noFill/>
                        </a:ln>
                      </wps:spPr>
                      <wps:txbx>
                        <w:txbxContent>
                          <w:p w14:paraId="33505F88" w14:textId="3A4D3127" w:rsidR="00B424CC" w:rsidRPr="00B424CC" w:rsidRDefault="00B424CC" w:rsidP="00B424CC">
                            <w:pPr>
                              <w:pStyle w:val="a4"/>
                              <w:jc w:val="center"/>
                              <w:rPr>
                                <w:rFonts w:ascii="微软雅黑" w:eastAsia="微软雅黑" w:hAnsi="微软雅黑"/>
                                <w:noProof/>
                                <w:sz w:val="24"/>
                                <w:szCs w:val="24"/>
                              </w:rPr>
                            </w:pPr>
                            <w:r>
                              <w:rPr>
                                <w:rFonts w:ascii="微软雅黑" w:eastAsia="微软雅黑" w:hAnsi="微软雅黑" w:hint="eastAsia"/>
                              </w:rPr>
                              <w:t>图6</w:t>
                            </w:r>
                            <w:r>
                              <w:rPr>
                                <w:rFonts w:ascii="微软雅黑" w:eastAsia="微软雅黑" w:hAnsi="微软雅黑"/>
                              </w:rPr>
                              <w:t xml:space="preserve"> 华为</w:t>
                            </w:r>
                            <w:r>
                              <w:rPr>
                                <w:rFonts w:ascii="微软雅黑" w:eastAsia="微软雅黑" w:hAnsi="微软雅黑" w:hint="eastAsia"/>
                              </w:rPr>
                              <w:t>主要芯片类型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 w14:anchorId="40DCB1C0" id="_x0000_s1031" type="#_x0000_t202" style="position:absolute;left:0;text-align:left;margin-left:17.9pt;margin-top:342.45pt;width:378.75pt;height:.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" stroked="f">
                <v:textbox style="mso-fit-shape-to-text:t" inset="0,0,0,0">
                  <w:txbxContent>
                    <w:p w14:paraId="33505F88" w14:textId="3A4D3127" w:rsidR="00B424CC" w:rsidRPr="00B424CC" w:rsidRDefault="00B424CC" w:rsidP="00B424CC">
                      <w:pPr>
                        <w:pStyle w:val="a4"/>
                        <w:jc w:val="center"/>
                        <w:rPr>
                          <w:rFonts w:ascii="微软雅黑" w:eastAsia="微软雅黑" w:hAnsi="微软雅黑"/>
                          <w:noProof/>
                          <w:sz w:val="24"/>
                          <w:szCs w:val="24"/>
                        </w:rPr>
                      </w:pPr>
                      <w:r>
                        <w:rPr>
                          <w:rFonts w:ascii="微软雅黑" w:eastAsia="微软雅黑" w:hAnsi="微软雅黑" w:hint="eastAsia"/>
                        </w:rPr>
                        <w:t>图6</w:t>
                      </w:r>
                      <w:r>
                        <w:rPr>
                          <w:rFonts w:ascii="微软雅黑" w:eastAsia="微软雅黑" w:hAnsi="微软雅黑"/>
                        </w:rPr>
                        <w:t xml:space="preserve"> 华为</w:t>
                      </w:r>
                      <w:r>
                        <w:rPr>
                          <w:rFonts w:ascii="微软雅黑" w:eastAsia="微软雅黑" w:hAnsi="微软雅黑" w:hint="eastAsia"/>
                        </w:rPr>
                        <w:t>主要芯片类型</w:t>
                      </w:r>
                    </w:p>
                  </w:txbxContent>
                </v:textbox>
                <w10:wrap type="square"/>
              </v:shape>
            </w:pict>
          </mc:Fallback>
        </mc:AlternateContent>
      </w:r>
      <w:r>
        <w:rPr>
          <w:rFonts w:ascii="宋体" w:eastAsia="宋体" w:hAnsi="宋体" w:hint="eastAsia"/>
          <w:noProof/>
          <w:sz w:val="24"/>
          <w:szCs w:val="24"/>
        </w:rPr>
        <w:drawing>
          <wp:anchor distT="0" distB="0" distL="114300" distR="114300" simplePos="0" relativeHeight="251678720" behindDoc="0" locked="0" layoutInCell="1" allowOverlap="1" wp14:anchorId="5F1A7F19" wp14:editId="5FCCFADB">
            <wp:simplePos x="0" y="0"/>
            <wp:positionH relativeFrom="margin">
              <wp:align>center</wp:align>
            </wp:positionH>
            <wp:positionV relativeFrom="paragraph">
              <wp:posOffset>1542415</wp:posOffset>
            </wp:positionV>
            <wp:extent cx="4810125" cy="2749550"/>
            <wp:effectExtent l="0" t="0" r="9525" b="0"/>
            <wp:wrapSquare wrapText="bothSides"/>
            <wp:docPr id="14272340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0125" cy="2749550"/>
                    </a:xfrm>
                    <a:prstGeom prst="rect">
                      <a:avLst/>
                    </a:prstGeom>
                    <a:noFill/>
                  </pic:spPr>
                </pic:pic>
              </a:graphicData>
            </a:graphic>
            <wp14:sizeRelH relativeFrom="page">
              <wp14:pctWidth>0</wp14:pctWidth>
            </wp14:sizeRelH>
            <wp14:sizeRelV relativeFrom="page">
              <wp14:pctHeight>0</wp14:pctHeight>
            </wp14:sizeRelV>
          </wp:anchor>
        </w:drawing>
      </w:r>
      <w:r w:rsidR="000A7434">
        <w:rPr>
          <w:rFonts w:ascii="宋体" w:eastAsia="宋体" w:hAnsi="宋体" w:hint="eastAsia"/>
          <w:sz w:val="24"/>
          <w:szCs w:val="24"/>
        </w:rPr>
        <w:t>中美贸易战背景下，美国多次运用技术壁垒</w:t>
      </w:r>
      <w:r w:rsidR="00135EF1">
        <w:rPr>
          <w:rFonts w:ascii="宋体" w:eastAsia="宋体" w:hAnsi="宋体" w:hint="eastAsia"/>
          <w:sz w:val="24"/>
          <w:szCs w:val="24"/>
        </w:rPr>
        <w:t>限制华为企业芯片供应。2019年5月15日，美国商务部将华为公司纳入到“实体清单”，只有美国特殊授权的产品才能够销售给华为公司，意味着华为公司不能从美国公司采购到芯片半导体、元器件、操作系统以及相关技术。2020年9月15日，美方对华为实施的新禁令正式生效，限制不断升级。</w:t>
      </w:r>
    </w:p>
    <w:p w14:paraId="47E89B3A" w14:textId="4AD007BB" w:rsidR="00135EF1" w:rsidRDefault="00135EF1" w:rsidP="00135EF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首先需要了解的是，为什么美国将华为公司作为最主要的打压对象呢？</w:t>
      </w:r>
    </w:p>
    <w:p w14:paraId="17FC8451" w14:textId="35B1DBC9" w:rsidR="00135EF1" w:rsidRDefault="00135EF1" w:rsidP="00135EF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一是因为华为公司掌控着5</w:t>
      </w:r>
      <w:r>
        <w:rPr>
          <w:rFonts w:ascii="宋体" w:eastAsia="宋体" w:hAnsi="宋体"/>
          <w:sz w:val="24"/>
          <w:szCs w:val="24"/>
        </w:rPr>
        <w:t>G</w:t>
      </w:r>
      <w:r>
        <w:rPr>
          <w:rFonts w:ascii="宋体" w:eastAsia="宋体" w:hAnsi="宋体" w:hint="eastAsia"/>
          <w:sz w:val="24"/>
          <w:szCs w:val="24"/>
        </w:rPr>
        <w:t>领域端的核心技术，完全取代了4</w:t>
      </w:r>
      <w:r>
        <w:rPr>
          <w:rFonts w:ascii="宋体" w:eastAsia="宋体" w:hAnsi="宋体"/>
          <w:sz w:val="24"/>
          <w:szCs w:val="24"/>
        </w:rPr>
        <w:t>G</w:t>
      </w:r>
      <w:r>
        <w:rPr>
          <w:rFonts w:ascii="宋体" w:eastAsia="宋体" w:hAnsi="宋体" w:hint="eastAsia"/>
          <w:sz w:val="24"/>
          <w:szCs w:val="24"/>
        </w:rPr>
        <w:t>时代美国在通信领域的绝对主导地位，在终端设备以及通信领域分走了美国公司的市场</w:t>
      </w:r>
      <w:r w:rsidR="00F60F50">
        <w:rPr>
          <w:rFonts w:ascii="宋体" w:eastAsia="宋体" w:hAnsi="宋体" w:hint="eastAsia"/>
          <w:sz w:val="24"/>
          <w:szCs w:val="24"/>
        </w:rPr>
        <w:t>，华为公司的5</w:t>
      </w:r>
      <w:r w:rsidR="00F60F50">
        <w:rPr>
          <w:rFonts w:ascii="宋体" w:eastAsia="宋体" w:hAnsi="宋体"/>
          <w:sz w:val="24"/>
          <w:szCs w:val="24"/>
        </w:rPr>
        <w:t>G</w:t>
      </w:r>
      <w:r w:rsidR="00F60F50">
        <w:rPr>
          <w:rFonts w:ascii="宋体" w:eastAsia="宋体" w:hAnsi="宋体" w:hint="eastAsia"/>
          <w:sz w:val="24"/>
          <w:szCs w:val="24"/>
        </w:rPr>
        <w:t>技术使美国在全球通信领域的市场缩小，减少了美国通信方面的利润所得</w:t>
      </w:r>
      <w:r>
        <w:rPr>
          <w:rFonts w:ascii="宋体" w:eastAsia="宋体" w:hAnsi="宋体" w:hint="eastAsia"/>
          <w:sz w:val="24"/>
          <w:szCs w:val="24"/>
        </w:rPr>
        <w:t>。对5</w:t>
      </w:r>
      <w:r>
        <w:rPr>
          <w:rFonts w:ascii="宋体" w:eastAsia="宋体" w:hAnsi="宋体"/>
          <w:sz w:val="24"/>
          <w:szCs w:val="24"/>
        </w:rPr>
        <w:t>G</w:t>
      </w:r>
      <w:r>
        <w:rPr>
          <w:rFonts w:ascii="宋体" w:eastAsia="宋体" w:hAnsi="宋体" w:hint="eastAsia"/>
          <w:sz w:val="24"/>
          <w:szCs w:val="24"/>
        </w:rPr>
        <w:t>领域的专利数据分析发现，截至2021年3月，全球5</w:t>
      </w:r>
      <w:r>
        <w:rPr>
          <w:rFonts w:ascii="宋体" w:eastAsia="宋体" w:hAnsi="宋体"/>
          <w:sz w:val="24"/>
          <w:szCs w:val="24"/>
        </w:rPr>
        <w:t>G</w:t>
      </w:r>
      <w:r>
        <w:rPr>
          <w:rFonts w:ascii="宋体" w:eastAsia="宋体" w:hAnsi="宋体" w:hint="eastAsia"/>
          <w:sz w:val="24"/>
          <w:szCs w:val="24"/>
        </w:rPr>
        <w:t>领域专利的16.48%都归华为公司所有，数量超过4800多项。</w:t>
      </w:r>
    </w:p>
    <w:p w14:paraId="1FE937BF" w14:textId="37243A66" w:rsidR="00135EF1" w:rsidRDefault="00135EF1" w:rsidP="00135EF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二是因为华为在5</w:t>
      </w:r>
      <w:r>
        <w:rPr>
          <w:rFonts w:ascii="宋体" w:eastAsia="宋体" w:hAnsi="宋体"/>
          <w:sz w:val="24"/>
          <w:szCs w:val="24"/>
        </w:rPr>
        <w:t>G</w:t>
      </w:r>
      <w:r>
        <w:rPr>
          <w:rFonts w:ascii="宋体" w:eastAsia="宋体" w:hAnsi="宋体" w:hint="eastAsia"/>
          <w:sz w:val="24"/>
          <w:szCs w:val="24"/>
        </w:rPr>
        <w:t>领域最关键的5</w:t>
      </w:r>
      <w:r>
        <w:rPr>
          <w:rFonts w:ascii="宋体" w:eastAsia="宋体" w:hAnsi="宋体"/>
          <w:sz w:val="24"/>
          <w:szCs w:val="24"/>
        </w:rPr>
        <w:t>G</w:t>
      </w:r>
      <w:r>
        <w:rPr>
          <w:rFonts w:ascii="宋体" w:eastAsia="宋体" w:hAnsi="宋体" w:hint="eastAsia"/>
          <w:sz w:val="24"/>
          <w:szCs w:val="24"/>
        </w:rPr>
        <w:t>基站领域具有绝对优势，其在这一领域实行了垂直研发策略。而芯片是信息网络电子元器件的核心部分，华为海思具备自主研发芯片的能力之后，若是进一步具有生产制造的能力，</w:t>
      </w:r>
      <w:r w:rsidR="00F60F50">
        <w:rPr>
          <w:rFonts w:ascii="宋体" w:eastAsia="宋体" w:hAnsi="宋体" w:hint="eastAsia"/>
          <w:sz w:val="24"/>
          <w:szCs w:val="24"/>
        </w:rPr>
        <w:t>在芯片供应方面，中国便不用必须依靠美国的供应，这也</w:t>
      </w:r>
      <w:r>
        <w:rPr>
          <w:rFonts w:ascii="宋体" w:eastAsia="宋体" w:hAnsi="宋体" w:hint="eastAsia"/>
          <w:sz w:val="24"/>
          <w:szCs w:val="24"/>
        </w:rPr>
        <w:t>将严重威胁到美国在信息通信领域的绝对地位。</w:t>
      </w:r>
    </w:p>
    <w:p w14:paraId="4DBF2D15" w14:textId="2429F8EF" w:rsidR="00135EF1" w:rsidRDefault="00DF3F1F" w:rsidP="00135EF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lastRenderedPageBreak/>
        <w:t>三是因为华为公司是民营企业，</w:t>
      </w:r>
      <w:r w:rsidR="00F60F50">
        <w:rPr>
          <w:rFonts w:ascii="宋体" w:eastAsia="宋体" w:hAnsi="宋体" w:hint="eastAsia"/>
          <w:sz w:val="24"/>
          <w:szCs w:val="24"/>
        </w:rPr>
        <w:t>民营企业在很大程度上具有自由经营权，在一定方面上不受国家的干预，</w:t>
      </w:r>
      <w:r>
        <w:rPr>
          <w:rFonts w:ascii="宋体" w:eastAsia="宋体" w:hAnsi="宋体" w:hint="eastAsia"/>
          <w:sz w:val="24"/>
          <w:szCs w:val="24"/>
        </w:rPr>
        <w:t>美国</w:t>
      </w:r>
      <w:r w:rsidR="00F60F50">
        <w:rPr>
          <w:rFonts w:ascii="宋体" w:eastAsia="宋体" w:hAnsi="宋体" w:hint="eastAsia"/>
          <w:sz w:val="24"/>
          <w:szCs w:val="24"/>
        </w:rPr>
        <w:t>也就</w:t>
      </w:r>
      <w:r>
        <w:rPr>
          <w:rFonts w:ascii="宋体" w:eastAsia="宋体" w:hAnsi="宋体" w:hint="eastAsia"/>
          <w:sz w:val="24"/>
          <w:szCs w:val="24"/>
        </w:rPr>
        <w:t>无法借助资本的力量影响和干预华为公司的生产经营</w:t>
      </w:r>
      <w:r w:rsidR="00F60F50">
        <w:rPr>
          <w:rFonts w:ascii="宋体" w:eastAsia="宋体" w:hAnsi="宋体" w:hint="eastAsia"/>
          <w:sz w:val="24"/>
          <w:szCs w:val="24"/>
        </w:rPr>
        <w:t>以及发展</w:t>
      </w:r>
      <w:r>
        <w:rPr>
          <w:rFonts w:ascii="宋体" w:eastAsia="宋体" w:hAnsi="宋体" w:hint="eastAsia"/>
          <w:sz w:val="24"/>
          <w:szCs w:val="24"/>
        </w:rPr>
        <w:t>。</w:t>
      </w:r>
    </w:p>
    <w:p w14:paraId="7E0209FA" w14:textId="65F71E07" w:rsidR="00DF3F1F" w:rsidRDefault="00DF3F1F" w:rsidP="00135EF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四是因为美国政界对中国和中国企业的敌对情绪加大，不断在经济贸易等多个领域发布多个政策打压中国。</w:t>
      </w:r>
    </w:p>
    <w:p w14:paraId="65BCEC21" w14:textId="27FD8B4B" w:rsidR="00DF3F1F" w:rsidRDefault="00DF3F1F" w:rsidP="00135EF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在美国限制事件之后，华为及其70家子公司，被美国政策打压“禁运”，在美国限制政策持续升级的情况下，华为大部分美国芯片供应商以及使用美国技术的海外企业逐渐停止了对华为的芯片以及核心技术供应。企业供应链的突然断裂在短期内对华为产品研发以及业务等方面具有一定的影响。而华为针对供应链韧性问题进行了应对措施。</w:t>
      </w:r>
    </w:p>
    <w:p w14:paraId="50C35D79" w14:textId="2850A26A" w:rsidR="00DF3F1F" w:rsidRDefault="00DF3F1F" w:rsidP="00135EF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是加大企业研发投入以及加速国内芯片投资布局。目前，华为研发投入在全球企业中位居第二，由下图可以看出2012-2021年华为研发投入持续大幅度飞跃上涨，特别是在美国限制政策后，华为通过国内自研产品的持续投入与建立，逐渐形成了自己的产业供应链，缓解美国芯片等限制政策的冲击。</w:t>
      </w:r>
    </w:p>
    <w:p w14:paraId="45D78648" w14:textId="7E782FED" w:rsidR="00DF3F1F" w:rsidRDefault="00DF3F1F" w:rsidP="00BC793E">
      <w:pPr>
        <w:spacing w:line="360" w:lineRule="auto"/>
        <w:ind w:firstLineChars="200" w:firstLine="420"/>
        <w:jc w:val="left"/>
        <w:rPr>
          <w:rFonts w:ascii="宋体" w:eastAsia="宋体" w:hAnsi="宋体"/>
          <w:sz w:val="24"/>
          <w:szCs w:val="24"/>
        </w:rPr>
      </w:pPr>
      <w:r>
        <w:rPr>
          <w:noProof/>
        </w:rPr>
        <mc:AlternateContent>
          <mc:Choice Requires="wps">
            <w:drawing>
              <wp:anchor distT="0" distB="0" distL="114300" distR="114300" simplePos="0" relativeHeight="251668480" behindDoc="0" locked="0" layoutInCell="1" allowOverlap="1" wp14:anchorId="456394F4" wp14:editId="3B9C70F7">
                <wp:simplePos x="0" y="0"/>
                <wp:positionH relativeFrom="margin">
                  <wp:posOffset>3810</wp:posOffset>
                </wp:positionH>
                <wp:positionV relativeFrom="paragraph">
                  <wp:posOffset>3291840</wp:posOffset>
                </wp:positionV>
                <wp:extent cx="5274310" cy="635"/>
                <wp:effectExtent l="0" t="0" r="2540" b="0"/>
                <wp:wrapSquare wrapText="bothSides"/>
                <wp:docPr id="1694678847" name="文本框 1"/>
                <wp:cNvGraphicFramePr/>
                <a:graphic xmlns:a="http://schemas.openxmlformats.org/drawingml/2006/main">
                  <a:graphicData uri="http://schemas.microsoft.com/office/word/2010/wordprocessingShape">
                    <wps:wsp>
                      <wps:cNvSpPr txBox="1"/>
                      <wps:spPr>
                        <a:xfrm>
                          <a:off x="0" y="0"/>
                          <a:ext cx="5274310" cy="635"/>
                        </a:xfrm>
                        <a:prstGeom prst="rect">
                          <a:avLst/>
                        </a:prstGeom>
                        <a:solidFill>
                          <a:prstClr val="white"/>
                        </a:solidFill>
                        <a:ln>
                          <a:noFill/>
                        </a:ln>
                      </wps:spPr>
                      <wps:txbx>
                        <w:txbxContent>
                          <w:p w14:paraId="37403C78" w14:textId="7A6E3BBA" w:rsidR="00DF3F1F" w:rsidRPr="00775D73" w:rsidRDefault="00DF3F1F" w:rsidP="00DF3F1F">
                            <w:pPr>
                              <w:pStyle w:val="a4"/>
                              <w:jc w:val="center"/>
                              <w:rPr>
                                <w:rFonts w:ascii="微软雅黑" w:eastAsia="微软雅黑" w:hAnsi="微软雅黑"/>
                                <w:noProof/>
                              </w:rPr>
                            </w:pPr>
                            <w:r w:rsidRPr="00775D73">
                              <w:rPr>
                                <w:rFonts w:ascii="微软雅黑" w:eastAsia="微软雅黑" w:hAnsi="微软雅黑" w:hint="eastAsia"/>
                              </w:rPr>
                              <w:t>图</w:t>
                            </w:r>
                            <w:r w:rsidR="00775D73" w:rsidRPr="00775D73">
                              <w:rPr>
                                <w:rFonts w:ascii="微软雅黑" w:eastAsia="微软雅黑" w:hAnsi="微软雅黑"/>
                              </w:rPr>
                              <w:t>7</w:t>
                            </w:r>
                            <w:r w:rsidRPr="00775D73">
                              <w:rPr>
                                <w:rFonts w:ascii="微软雅黑" w:eastAsia="微软雅黑" w:hAnsi="微软雅黑"/>
                              </w:rPr>
                              <w:t xml:space="preserve"> 华为</w:t>
                            </w:r>
                            <w:r w:rsidRPr="00775D73">
                              <w:rPr>
                                <w:rFonts w:ascii="微软雅黑" w:eastAsia="微软雅黑" w:hAnsi="微软雅黑" w:hint="eastAsia"/>
                              </w:rPr>
                              <w:t>公司2</w:t>
                            </w:r>
                            <w:r w:rsidRPr="00775D73">
                              <w:rPr>
                                <w:rFonts w:ascii="微软雅黑" w:eastAsia="微软雅黑" w:hAnsi="微软雅黑"/>
                              </w:rPr>
                              <w:t>012-2021年</w:t>
                            </w:r>
                            <w:r w:rsidRPr="00775D73">
                              <w:rPr>
                                <w:rFonts w:ascii="微软雅黑" w:eastAsia="微软雅黑" w:hAnsi="微软雅黑" w:hint="eastAsia"/>
                              </w:rPr>
                              <w:t>研发资本投入及占比图</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 w14:anchorId="456394F4" id="_x0000_s1032" type="#_x0000_t202" style="position:absolute;left:0;text-align:left;margin-left:.3pt;margin-top:259.2pt;width:415.3pt;height:.05pt;z-index:25166848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" stroked="f">
                <v:textbox style="mso-fit-shape-to-text:t" inset="0,0,0,0">
                  <w:txbxContent>
                    <w:p w14:paraId="37403C78" w14:textId="7A6E3BBA" w:rsidR="00DF3F1F" w:rsidRPr="00775D73" w:rsidRDefault="00DF3F1F" w:rsidP="00DF3F1F">
                      <w:pPr>
                        <w:pStyle w:val="a4"/>
                        <w:jc w:val="center"/>
                        <w:rPr>
                          <w:rFonts w:ascii="微软雅黑" w:eastAsia="微软雅黑" w:hAnsi="微软雅黑"/>
                          <w:noProof/>
                        </w:rPr>
                      </w:pPr>
                      <w:r w:rsidRPr="00775D73">
                        <w:rPr>
                          <w:rFonts w:ascii="微软雅黑" w:eastAsia="微软雅黑" w:hAnsi="微软雅黑" w:hint="eastAsia"/>
                        </w:rPr>
                        <w:t>图</w:t>
                      </w:r>
                      <w:r w:rsidR="00775D73" w:rsidRPr="00775D73">
                        <w:rPr>
                          <w:rFonts w:ascii="微软雅黑" w:eastAsia="微软雅黑" w:hAnsi="微软雅黑"/>
                        </w:rPr>
                        <w:t>7</w:t>
                      </w:r>
                      <w:r w:rsidRPr="00775D73">
                        <w:rPr>
                          <w:rFonts w:ascii="微软雅黑" w:eastAsia="微软雅黑" w:hAnsi="微软雅黑"/>
                        </w:rPr>
                        <w:t xml:space="preserve"> 华为</w:t>
                      </w:r>
                      <w:r w:rsidRPr="00775D73">
                        <w:rPr>
                          <w:rFonts w:ascii="微软雅黑" w:eastAsia="微软雅黑" w:hAnsi="微软雅黑" w:hint="eastAsia"/>
                        </w:rPr>
                        <w:t>公司2</w:t>
                      </w:r>
                      <w:r w:rsidRPr="00775D73">
                        <w:rPr>
                          <w:rFonts w:ascii="微软雅黑" w:eastAsia="微软雅黑" w:hAnsi="微软雅黑"/>
                        </w:rPr>
                        <w:t>012-2021年</w:t>
                      </w:r>
                      <w:r w:rsidRPr="00775D73">
                        <w:rPr>
                          <w:rFonts w:ascii="微软雅黑" w:eastAsia="微软雅黑" w:hAnsi="微软雅黑" w:hint="eastAsia"/>
                        </w:rPr>
                        <w:t>研发资本投入及占比图</w:t>
                      </w:r>
                    </w:p>
                  </w:txbxContent>
                </v:textbox>
                <w10:wrap type="square" anchorx="margin"/>
              </v:shape>
            </w:pict>
          </mc:Fallback>
        </mc:AlternateContent>
      </w:r>
      <w:r>
        <w:rPr>
          <w:noProof/>
        </w:rPr>
        <w:drawing>
          <wp:anchor distT="0" distB="0" distL="114300" distR="114300" simplePos="0" relativeHeight="251666432" behindDoc="0" locked="0" layoutInCell="1" allowOverlap="1" wp14:anchorId="156F5E98" wp14:editId="61C9D0C7">
            <wp:simplePos x="0" y="0"/>
            <wp:positionH relativeFrom="margin">
              <wp:align>right</wp:align>
            </wp:positionH>
            <wp:positionV relativeFrom="paragraph">
              <wp:posOffset>0</wp:posOffset>
            </wp:positionV>
            <wp:extent cx="5274310" cy="3302000"/>
            <wp:effectExtent l="0" t="0" r="2540" b="0"/>
            <wp:wrapSquare wrapText="bothSides"/>
            <wp:docPr id="10025551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555131" name=""/>
                    <pic:cNvPicPr/>
                  </pic:nvPicPr>
                  <pic:blipFill>
                    <a:blip r:embed="rId12"/>
                    <a:stretch>
                      <a:fillRect/>
                    </a:stretch>
                  </pic:blipFill>
                  <pic:spPr>
                    <a:xfrm>
                      <a:off x="0" y="0"/>
                      <a:ext cx="5274310" cy="3302000"/>
                    </a:xfrm>
                    <a:prstGeom prst="rect">
                      <a:avLst/>
                    </a:prstGeom>
                  </pic:spPr>
                </pic:pic>
              </a:graphicData>
            </a:graphic>
          </wp:anchor>
        </w:drawing>
      </w:r>
      <w:r w:rsidR="00A238D3">
        <w:rPr>
          <w:rFonts w:ascii="宋体" w:eastAsia="宋体" w:hAnsi="宋体" w:hint="eastAsia"/>
          <w:sz w:val="24"/>
          <w:szCs w:val="24"/>
        </w:rPr>
        <w:t>二是华为公司提前布局H</w:t>
      </w:r>
      <w:r w:rsidR="00A238D3">
        <w:rPr>
          <w:rFonts w:ascii="宋体" w:eastAsia="宋体" w:hAnsi="宋体"/>
          <w:sz w:val="24"/>
          <w:szCs w:val="24"/>
        </w:rPr>
        <w:t>MS&amp;</w:t>
      </w:r>
      <w:r w:rsidR="00A238D3">
        <w:rPr>
          <w:rFonts w:ascii="宋体" w:eastAsia="宋体" w:hAnsi="宋体" w:hint="eastAsia"/>
          <w:sz w:val="24"/>
          <w:szCs w:val="24"/>
        </w:rPr>
        <w:t>鸿蒙系统应对禁令。华为公司加大创新开发力度，积极弥补自身在计算生态以及运行系统等方面的短板，探索研发鲲鹏计算生态及替代谷歌生态的华为移动服务生态鸿蒙系统，构建自由智能平台，进一</w:t>
      </w:r>
      <w:r w:rsidR="00A238D3">
        <w:rPr>
          <w:rFonts w:ascii="宋体" w:eastAsia="宋体" w:hAnsi="宋体" w:hint="eastAsia"/>
          <w:sz w:val="24"/>
          <w:szCs w:val="24"/>
        </w:rPr>
        <w:lastRenderedPageBreak/>
        <w:t>步加速去美国化。</w:t>
      </w:r>
    </w:p>
    <w:p w14:paraId="6083B371" w14:textId="1DB16A38" w:rsidR="00DF3F1F" w:rsidRDefault="00A238D3" w:rsidP="00A238D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三是调整供应策略，加速国产化替代进程。</w:t>
      </w:r>
      <w:r w:rsidRPr="00A238D3">
        <w:rPr>
          <w:rFonts w:ascii="宋体" w:eastAsia="宋体" w:hAnsi="宋体" w:hint="eastAsia"/>
          <w:sz w:val="24"/>
          <w:szCs w:val="24"/>
        </w:rPr>
        <w:t>在</w:t>
      </w:r>
      <w:r w:rsidRPr="00A238D3">
        <w:rPr>
          <w:rFonts w:ascii="宋体" w:eastAsia="宋体" w:hAnsi="宋体"/>
          <w:sz w:val="24"/>
          <w:szCs w:val="24"/>
        </w:rPr>
        <w:t>2018年美国限制政策开始之时，华为的芯片供应链首当其冲地遭到了冲</w:t>
      </w:r>
      <w:r w:rsidRPr="00A238D3">
        <w:rPr>
          <w:rFonts w:ascii="宋体" w:eastAsia="宋体" w:hAnsi="宋体" w:hint="eastAsia"/>
          <w:sz w:val="24"/>
          <w:szCs w:val="24"/>
        </w:rPr>
        <w:t>击，众多芯片制造商被迫停止对华为芯片的供应，使用美国供应的射频、基带等芯片的手机业务受到了影响。但是华为未雨绸缪，高度警惕可能的威胁，多年以前就已经提出了自身核心供应链受到其他国家或地区钳制的风险假设，并且早已在应急措施和长期战略两个方面进行准备。</w:t>
      </w:r>
    </w:p>
    <w:p w14:paraId="705BEE34" w14:textId="4DECF7F5" w:rsidR="00DF3F1F" w:rsidRDefault="00A238D3" w:rsidP="00135EF1">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应急措施方面：自孟晚舟女士2018年在加拿大被美国及其联盟国扣押之后，华为供应链很快启动了去美国化的措施，向非美系供应商增加采购量，</w:t>
      </w:r>
      <w:r w:rsidR="008A7D87" w:rsidRPr="008A7D87">
        <w:rPr>
          <w:rFonts w:ascii="宋体" w:eastAsia="宋体" w:hAnsi="宋体" w:hint="eastAsia"/>
          <w:sz w:val="24"/>
          <w:szCs w:val="24"/>
        </w:rPr>
        <w:t>华为公司与多个国家和地区的芯片制造商建立了合作关系，从多个渠道获取芯片供应。此外，华为还加强了与国内供应商的合作，例如中芯国际等公司。这些企业开始为华为生产芯片，从而增加了华为的芯片供应渠道。</w:t>
      </w:r>
      <w:r>
        <w:rPr>
          <w:rFonts w:ascii="宋体" w:eastAsia="宋体" w:hAnsi="宋体" w:hint="eastAsia"/>
          <w:sz w:val="24"/>
          <w:szCs w:val="24"/>
        </w:rPr>
        <w:t>并进一步增大了对台湾芯片厂商的订单规模，同时进一步加大了对严重依赖美国企业的半导体零部件产品的库存，库存周期在短期内扩大到一年之久，为华为公司切换供应链、去美国化赢得了时间。长期战略方面：华为对于美国芯片限制早在十多年前已有所准备，海思公司的“备胎”计划就是其中之一，且为了预防芯片供应困难影响企业发展，华为公司及时做好了芯片备份，“备胎计划”以及与其他国家的供应链合作能够缓解企业断供危机，也为华为突破美国限制以及重塑供应链赢得了时间准备。</w:t>
      </w:r>
    </w:p>
    <w:p w14:paraId="7452D9F7" w14:textId="1FDC9949" w:rsidR="007B18DF" w:rsidRDefault="00A238D3" w:rsidP="007B18DF">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华为公司为进一步发展与创新应做到立足企业自主技术创新、持续加大芯片研发投入，</w:t>
      </w:r>
      <w:r w:rsidR="009D7A08">
        <w:rPr>
          <w:rFonts w:ascii="宋体" w:eastAsia="宋体" w:hAnsi="宋体" w:hint="eastAsia"/>
          <w:sz w:val="24"/>
          <w:szCs w:val="24"/>
        </w:rPr>
        <w:t>同时增强企业品牌形象建设，加大创新人才培养力度，应加强海外政治风险评估，培养企业法律应诉意识，应加速核心产品国产替代，保障产业环节安全可控，应聚焦区域重点市场，健全供应链风险防控体系。产品只有在终端市场上得以稳定销售，企业才能拥有健康稳定的现金流，从而促进供应链的正向循环。</w:t>
      </w:r>
    </w:p>
    <w:p w14:paraId="4305C0E7" w14:textId="3B90A9A7" w:rsidR="00DF3F1F" w:rsidRDefault="007B18DF" w:rsidP="000F6329">
      <w:pPr>
        <w:spacing w:line="360" w:lineRule="auto"/>
        <w:jc w:val="left"/>
        <w:rPr>
          <w:rFonts w:ascii="宋体" w:eastAsia="宋体" w:hAnsi="宋体"/>
          <w:sz w:val="24"/>
          <w:szCs w:val="24"/>
        </w:rPr>
      </w:pPr>
      <w:r>
        <w:rPr>
          <w:noProof/>
        </w:rPr>
        <w:lastRenderedPageBreak/>
        <mc:AlternateContent>
          <mc:Choice Requires="wps">
            <w:drawing>
              <wp:anchor distT="0" distB="0" distL="114300" distR="114300" simplePos="0" relativeHeight="251684864" behindDoc="0" locked="0" layoutInCell="1" allowOverlap="1" wp14:anchorId="37C92F8E" wp14:editId="31C6DCB7">
                <wp:simplePos x="0" y="0"/>
                <wp:positionH relativeFrom="column">
                  <wp:posOffset>0</wp:posOffset>
                </wp:positionH>
                <wp:positionV relativeFrom="paragraph">
                  <wp:posOffset>4164330</wp:posOffset>
                </wp:positionV>
                <wp:extent cx="5274310" cy="635"/>
                <wp:effectExtent l="0" t="0" r="0" b="0"/>
                <wp:wrapSquare wrapText="bothSides"/>
                <wp:docPr id="495510882" name="文本框 1"/>
                <wp:cNvGraphicFramePr/>
                <a:graphic xmlns:a="http://schemas.openxmlformats.org/drawingml/2006/main">
                  <a:graphicData uri="http://schemas.microsoft.com/office/word/2010/wordprocessingShape">
                    <wps:wsp>
                      <wps:cNvSpPr txBox="1"/>
                      <wps:spPr>
                        <a:xfrm>
                          <a:off x="0" y="0"/>
                          <a:ext cx="5274310" cy="635"/>
                        </a:xfrm>
                        <a:prstGeom prst="rect">
                          <a:avLst/>
                        </a:prstGeom>
                        <a:solidFill>
                          <a:prstClr val="white"/>
                        </a:solidFill>
                        <a:ln>
                          <a:noFill/>
                        </a:ln>
                      </wps:spPr>
                      <wps:txbx>
                        <w:txbxContent>
                          <w:p w14:paraId="77FCCC51" w14:textId="36922261" w:rsidR="007B18DF" w:rsidRPr="007B18DF" w:rsidRDefault="007B18DF" w:rsidP="007B18DF">
                            <w:pPr>
                              <w:pStyle w:val="a4"/>
                              <w:jc w:val="center"/>
                              <w:rPr>
                                <w:rFonts w:ascii="微软雅黑" w:eastAsia="微软雅黑" w:hAnsi="微软雅黑"/>
                                <w:noProof/>
                              </w:rPr>
                            </w:pPr>
                            <w:r>
                              <w:rPr>
                                <w:rFonts w:ascii="微软雅黑" w:eastAsia="微软雅黑" w:hAnsi="微软雅黑" w:hint="eastAsia"/>
                              </w:rPr>
                              <w:t>图8</w:t>
                            </w:r>
                            <w:r>
                              <w:rPr>
                                <w:rFonts w:ascii="微软雅黑" w:eastAsia="微软雅黑" w:hAnsi="微软雅黑"/>
                              </w:rPr>
                              <w:t xml:space="preserve"> 百度</w:t>
                            </w:r>
                            <w:r>
                              <w:rPr>
                                <w:rFonts w:ascii="微软雅黑" w:eastAsia="微软雅黑" w:hAnsi="微软雅黑" w:hint="eastAsia"/>
                              </w:rPr>
                              <w:t>搜索关于华为芯片问题解决方案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 w14:anchorId="37C92F8E" id="_x0000_s1033" type="#_x0000_t202" style="position:absolute;margin-left:0;margin-top:327.9pt;width:415.3pt;height:.0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" stroked="f">
                <v:textbox style="mso-fit-shape-to-text:t" inset="0,0,0,0">
                  <w:txbxContent>
                    <w:p w14:paraId="77FCCC51" w14:textId="36922261" w:rsidR="007B18DF" w:rsidRPr="007B18DF" w:rsidRDefault="007B18DF" w:rsidP="007B18DF">
                      <w:pPr>
                        <w:pStyle w:val="a4"/>
                        <w:jc w:val="center"/>
                        <w:rPr>
                          <w:rFonts w:ascii="微软雅黑" w:eastAsia="微软雅黑" w:hAnsi="微软雅黑"/>
                          <w:noProof/>
                        </w:rPr>
                      </w:pPr>
                      <w:r>
                        <w:rPr>
                          <w:rFonts w:ascii="微软雅黑" w:eastAsia="微软雅黑" w:hAnsi="微软雅黑" w:hint="eastAsia"/>
                        </w:rPr>
                        <w:t>图8</w:t>
                      </w:r>
                      <w:r>
                        <w:rPr>
                          <w:rFonts w:ascii="微软雅黑" w:eastAsia="微软雅黑" w:hAnsi="微软雅黑"/>
                        </w:rPr>
                        <w:t xml:space="preserve"> 百度</w:t>
                      </w:r>
                      <w:r>
                        <w:rPr>
                          <w:rFonts w:ascii="微软雅黑" w:eastAsia="微软雅黑" w:hAnsi="微软雅黑" w:hint="eastAsia"/>
                        </w:rPr>
                        <w:t>搜索关于华为芯片问题解决方案</w:t>
                      </w:r>
                    </w:p>
                  </w:txbxContent>
                </v:textbox>
                <w10:wrap type="square"/>
              </v:shape>
            </w:pict>
          </mc:Fallback>
        </mc:AlternateContent>
      </w:r>
      <w:r>
        <w:rPr>
          <w:noProof/>
        </w:rPr>
        <w:drawing>
          <wp:anchor distT="0" distB="0" distL="114300" distR="114300" simplePos="0" relativeHeight="251682816" behindDoc="0" locked="0" layoutInCell="1" allowOverlap="1" wp14:anchorId="12ACA010" wp14:editId="2BF70F61">
            <wp:simplePos x="0" y="0"/>
            <wp:positionH relativeFrom="margin">
              <wp:align>left</wp:align>
            </wp:positionH>
            <wp:positionV relativeFrom="paragraph">
              <wp:posOffset>0</wp:posOffset>
            </wp:positionV>
            <wp:extent cx="5274310" cy="4107180"/>
            <wp:effectExtent l="0" t="0" r="2540" b="7620"/>
            <wp:wrapSquare wrapText="bothSides"/>
            <wp:docPr id="14001997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199789" name=""/>
                    <pic:cNvPicPr/>
                  </pic:nvPicPr>
                  <pic:blipFill>
                    <a:blip r:embed="rId13"/>
                    <a:stretch>
                      <a:fillRect/>
                    </a:stretch>
                  </pic:blipFill>
                  <pic:spPr>
                    <a:xfrm>
                      <a:off x="0" y="0"/>
                      <a:ext cx="5274310" cy="4107180"/>
                    </a:xfrm>
                    <a:prstGeom prst="rect">
                      <a:avLst/>
                    </a:prstGeom>
                  </pic:spPr>
                </pic:pic>
              </a:graphicData>
            </a:graphic>
          </wp:anchor>
        </w:drawing>
      </w:r>
    </w:p>
    <w:p w14:paraId="10A2649B" w14:textId="77777777" w:rsidR="000F6329" w:rsidRDefault="000F6329" w:rsidP="000F6329">
      <w:pPr>
        <w:spacing w:line="360" w:lineRule="auto"/>
        <w:jc w:val="left"/>
        <w:rPr>
          <w:rFonts w:ascii="宋体" w:eastAsia="宋体" w:hAnsi="宋体"/>
          <w:sz w:val="24"/>
          <w:szCs w:val="24"/>
        </w:rPr>
      </w:pPr>
    </w:p>
    <w:p w14:paraId="5B1994EF" w14:textId="5D86C6EB" w:rsidR="000F6329" w:rsidRPr="004F7C48" w:rsidRDefault="000F6329" w:rsidP="000F6329">
      <w:pPr>
        <w:spacing w:line="360" w:lineRule="auto"/>
        <w:jc w:val="left"/>
        <w:rPr>
          <w:rFonts w:ascii="宋体" w:eastAsia="宋体" w:hAnsi="宋体"/>
          <w:sz w:val="24"/>
          <w:szCs w:val="24"/>
        </w:rPr>
      </w:pPr>
      <w:r>
        <w:rPr>
          <w:rFonts w:ascii="微软雅黑" w:eastAsia="微软雅黑" w:hAnsi="微软雅黑" w:hint="eastAsia"/>
          <w:color w:val="666666"/>
          <w:sz w:val="18"/>
          <w:szCs w:val="18"/>
          <w:shd w:val="clear" w:color="auto" w:fill="FFFFFF"/>
        </w:rPr>
        <w:t>[1]王馨卉.中美科技竞争背景下华为手机芯片供应链韧性研究[D].吉林大学,2023.DOI:10.27162/d.cnki.gjlin.2023.004821</w:t>
      </w:r>
    </w:p>
    <w:sectPr w:rsidR="000F6329" w:rsidRPr="004F7C48">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CF3C52" w:usb2="00000016" w:usb3="00000000" w:csb0="0004001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75669F"/>
    <w:multiLevelType w:val="hybridMultilevel"/>
    <w:tmpl w:val="3926FA3C"/>
    <w:lvl w:ilvl="0" w:tplc="94503416">
      <w:start w:val="1"/>
      <w:numFmt w:val="japaneseCounting"/>
      <w:lvlText w:val="第%1，"/>
      <w:lvlJc w:val="left"/>
      <w:pPr>
        <w:ind w:left="1200" w:hanging="720"/>
      </w:pPr>
      <w:rPr>
        <w:rFonts w:ascii="宋体" w:eastAsia="宋体" w:hAnsi="宋体" w:cstheme="minorBidi"/>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1" w15:restartNumberingAfterBreak="0">
    <w:nsid w:val="34F14CE9"/>
    <w:multiLevelType w:val="hybridMultilevel"/>
    <w:tmpl w:val="D794D7B0"/>
    <w:lvl w:ilvl="0" w:tplc="CB005C7E">
      <w:start w:val="2"/>
      <w:numFmt w:val="japaneseCounting"/>
      <w:lvlText w:val="第%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41786C91"/>
    <w:multiLevelType w:val="hybridMultilevel"/>
    <w:tmpl w:val="D4AC88CE"/>
    <w:lvl w:ilvl="0" w:tplc="F104DA42">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3" w15:restartNumberingAfterBreak="0">
    <w:nsid w:val="433D395D"/>
    <w:multiLevelType w:val="hybridMultilevel"/>
    <w:tmpl w:val="42285A7E"/>
    <w:lvl w:ilvl="0" w:tplc="5DD0470E">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4" w15:restartNumberingAfterBreak="0">
    <w:nsid w:val="7C5633FD"/>
    <w:multiLevelType w:val="hybridMultilevel"/>
    <w:tmpl w:val="683E7410"/>
    <w:lvl w:ilvl="0" w:tplc="E7A8CB5E">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num w:numId="1">
    <w:abstractNumId w:val="4"/>
  </w:num>
  <w:num w:numId="2">
    <w:abstractNumId w:val="2"/>
  </w:num>
  <w:num w:numId="3">
    <w:abstractNumId w:val="3"/>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3"/>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3947"/>
    <w:rsid w:val="00085766"/>
    <w:rsid w:val="000944A1"/>
    <w:rsid w:val="000A029F"/>
    <w:rsid w:val="000A1FDE"/>
    <w:rsid w:val="000A7434"/>
    <w:rsid w:val="000D1F1F"/>
    <w:rsid w:val="000F6329"/>
    <w:rsid w:val="00107A18"/>
    <w:rsid w:val="00135EF1"/>
    <w:rsid w:val="00156049"/>
    <w:rsid w:val="00183C72"/>
    <w:rsid w:val="00206137"/>
    <w:rsid w:val="0020780D"/>
    <w:rsid w:val="0021702F"/>
    <w:rsid w:val="002222C9"/>
    <w:rsid w:val="002724BF"/>
    <w:rsid w:val="0029028F"/>
    <w:rsid w:val="002C5AAC"/>
    <w:rsid w:val="002D0559"/>
    <w:rsid w:val="002D579A"/>
    <w:rsid w:val="002F1C73"/>
    <w:rsid w:val="003377AD"/>
    <w:rsid w:val="00345010"/>
    <w:rsid w:val="00375F41"/>
    <w:rsid w:val="00382AD8"/>
    <w:rsid w:val="0038600F"/>
    <w:rsid w:val="003D0D2D"/>
    <w:rsid w:val="003F15AC"/>
    <w:rsid w:val="00441BD1"/>
    <w:rsid w:val="00450461"/>
    <w:rsid w:val="00456C92"/>
    <w:rsid w:val="00474F80"/>
    <w:rsid w:val="00486EA2"/>
    <w:rsid w:val="004A665F"/>
    <w:rsid w:val="004B1E00"/>
    <w:rsid w:val="004B7923"/>
    <w:rsid w:val="004C25C7"/>
    <w:rsid w:val="004C3858"/>
    <w:rsid w:val="004C4530"/>
    <w:rsid w:val="004F7C48"/>
    <w:rsid w:val="0051109A"/>
    <w:rsid w:val="00525201"/>
    <w:rsid w:val="005530A0"/>
    <w:rsid w:val="00623322"/>
    <w:rsid w:val="00680498"/>
    <w:rsid w:val="006D3947"/>
    <w:rsid w:val="006F2415"/>
    <w:rsid w:val="00764057"/>
    <w:rsid w:val="00772C33"/>
    <w:rsid w:val="0077503D"/>
    <w:rsid w:val="00775D73"/>
    <w:rsid w:val="00781A39"/>
    <w:rsid w:val="007A73C3"/>
    <w:rsid w:val="007B18DF"/>
    <w:rsid w:val="007F0CDE"/>
    <w:rsid w:val="00802E68"/>
    <w:rsid w:val="00845113"/>
    <w:rsid w:val="008A7D87"/>
    <w:rsid w:val="008C6614"/>
    <w:rsid w:val="0093748B"/>
    <w:rsid w:val="00954BA7"/>
    <w:rsid w:val="009D21E5"/>
    <w:rsid w:val="009D7A08"/>
    <w:rsid w:val="00A238D3"/>
    <w:rsid w:val="00AA3257"/>
    <w:rsid w:val="00AE183B"/>
    <w:rsid w:val="00AF0709"/>
    <w:rsid w:val="00AF68CA"/>
    <w:rsid w:val="00B424CC"/>
    <w:rsid w:val="00B6069C"/>
    <w:rsid w:val="00BC793E"/>
    <w:rsid w:val="00C60242"/>
    <w:rsid w:val="00CC634F"/>
    <w:rsid w:val="00CD6D41"/>
    <w:rsid w:val="00D525AC"/>
    <w:rsid w:val="00D81D27"/>
    <w:rsid w:val="00D85C69"/>
    <w:rsid w:val="00D96072"/>
    <w:rsid w:val="00DF1D32"/>
    <w:rsid w:val="00DF3F1F"/>
    <w:rsid w:val="00E07498"/>
    <w:rsid w:val="00EC1E25"/>
    <w:rsid w:val="00EC6F23"/>
    <w:rsid w:val="00EE2B86"/>
    <w:rsid w:val="00EF649F"/>
    <w:rsid w:val="00F60F50"/>
    <w:rsid w:val="00FD02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0BCE31"/>
  <w15:chartTrackingRefBased/>
  <w15:docId w15:val="{A9BAE2A6-D430-4082-9147-D1B575BBCB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45113"/>
    <w:pPr>
      <w:ind w:firstLineChars="200" w:firstLine="420"/>
    </w:pPr>
  </w:style>
  <w:style w:type="paragraph" w:styleId="a4">
    <w:name w:val="caption"/>
    <w:basedOn w:val="a"/>
    <w:next w:val="a"/>
    <w:uiPriority w:val="35"/>
    <w:unhideWhenUsed/>
    <w:qFormat/>
    <w:rsid w:val="004C4530"/>
    <w:rPr>
      <w:rFonts w:asciiTheme="majorHAnsi" w:eastAsia="黑体" w:hAnsiTheme="majorHAnsi" w:cstheme="majorBid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956131">
      <w:bodyDiv w:val="1"/>
      <w:marLeft w:val="0"/>
      <w:marRight w:val="0"/>
      <w:marTop w:val="0"/>
      <w:marBottom w:val="0"/>
      <w:divBdr>
        <w:top w:val="none" w:sz="0" w:space="0" w:color="auto"/>
        <w:left w:val="none" w:sz="0" w:space="0" w:color="auto"/>
        <w:bottom w:val="none" w:sz="0" w:space="0" w:color="auto"/>
        <w:right w:val="none" w:sz="0" w:space="0" w:color="auto"/>
      </w:divBdr>
      <w:divsChild>
        <w:div w:id="2061708458">
          <w:marLeft w:val="0"/>
          <w:marRight w:val="0"/>
          <w:marTop w:val="0"/>
          <w:marBottom w:val="0"/>
          <w:divBdr>
            <w:top w:val="none" w:sz="0" w:space="0" w:color="auto"/>
            <w:left w:val="none" w:sz="0" w:space="0" w:color="auto"/>
            <w:bottom w:val="none" w:sz="0" w:space="0" w:color="auto"/>
            <w:right w:val="none" w:sz="0" w:space="0" w:color="auto"/>
          </w:divBdr>
        </w:div>
      </w:divsChild>
    </w:div>
    <w:div w:id="533153331">
      <w:bodyDiv w:val="1"/>
      <w:marLeft w:val="0"/>
      <w:marRight w:val="0"/>
      <w:marTop w:val="0"/>
      <w:marBottom w:val="0"/>
      <w:divBdr>
        <w:top w:val="none" w:sz="0" w:space="0" w:color="auto"/>
        <w:left w:val="none" w:sz="0" w:space="0" w:color="auto"/>
        <w:bottom w:val="none" w:sz="0" w:space="0" w:color="auto"/>
        <w:right w:val="none" w:sz="0" w:space="0" w:color="auto"/>
      </w:divBdr>
      <w:divsChild>
        <w:div w:id="1207253341">
          <w:marLeft w:val="0"/>
          <w:marRight w:val="0"/>
          <w:marTop w:val="0"/>
          <w:marBottom w:val="0"/>
          <w:divBdr>
            <w:top w:val="none" w:sz="0" w:space="0" w:color="auto"/>
            <w:left w:val="none" w:sz="0" w:space="0" w:color="auto"/>
            <w:bottom w:val="none" w:sz="0" w:space="0" w:color="auto"/>
            <w:right w:val="none" w:sz="0" w:space="0" w:color="auto"/>
          </w:divBdr>
        </w:div>
        <w:div w:id="1225025041">
          <w:marLeft w:val="0"/>
          <w:marRight w:val="0"/>
          <w:marTop w:val="0"/>
          <w:marBottom w:val="0"/>
          <w:divBdr>
            <w:top w:val="none" w:sz="0" w:space="0" w:color="auto"/>
            <w:left w:val="none" w:sz="0" w:space="0" w:color="auto"/>
            <w:bottom w:val="none" w:sz="0" w:space="0" w:color="auto"/>
            <w:right w:val="none" w:sz="0" w:space="0" w:color="auto"/>
          </w:divBdr>
        </w:div>
      </w:divsChild>
    </w:div>
    <w:div w:id="683897072">
      <w:bodyDiv w:val="1"/>
      <w:marLeft w:val="0"/>
      <w:marRight w:val="0"/>
      <w:marTop w:val="0"/>
      <w:marBottom w:val="0"/>
      <w:divBdr>
        <w:top w:val="none" w:sz="0" w:space="0" w:color="auto"/>
        <w:left w:val="none" w:sz="0" w:space="0" w:color="auto"/>
        <w:bottom w:val="none" w:sz="0" w:space="0" w:color="auto"/>
        <w:right w:val="none" w:sz="0" w:space="0" w:color="auto"/>
      </w:divBdr>
      <w:divsChild>
        <w:div w:id="1898777832">
          <w:marLeft w:val="0"/>
          <w:marRight w:val="0"/>
          <w:marTop w:val="0"/>
          <w:marBottom w:val="0"/>
          <w:divBdr>
            <w:top w:val="none" w:sz="0" w:space="0" w:color="auto"/>
            <w:left w:val="none" w:sz="0" w:space="0" w:color="auto"/>
            <w:bottom w:val="none" w:sz="0" w:space="0" w:color="auto"/>
            <w:right w:val="none" w:sz="0" w:space="0" w:color="auto"/>
          </w:divBdr>
        </w:div>
        <w:div w:id="643967406">
          <w:marLeft w:val="0"/>
          <w:marRight w:val="0"/>
          <w:marTop w:val="0"/>
          <w:marBottom w:val="0"/>
          <w:divBdr>
            <w:top w:val="none" w:sz="0" w:space="0" w:color="auto"/>
            <w:left w:val="none" w:sz="0" w:space="0" w:color="auto"/>
            <w:bottom w:val="none" w:sz="0" w:space="0" w:color="auto"/>
            <w:right w:val="none" w:sz="0" w:space="0" w:color="auto"/>
          </w:divBdr>
        </w:div>
        <w:div w:id="71973619">
          <w:marLeft w:val="0"/>
          <w:marRight w:val="0"/>
          <w:marTop w:val="0"/>
          <w:marBottom w:val="0"/>
          <w:divBdr>
            <w:top w:val="none" w:sz="0" w:space="0" w:color="auto"/>
            <w:left w:val="none" w:sz="0" w:space="0" w:color="auto"/>
            <w:bottom w:val="none" w:sz="0" w:space="0" w:color="auto"/>
            <w:right w:val="none" w:sz="0" w:space="0" w:color="auto"/>
          </w:divBdr>
        </w:div>
        <w:div w:id="653530056">
          <w:marLeft w:val="0"/>
          <w:marRight w:val="0"/>
          <w:marTop w:val="0"/>
          <w:marBottom w:val="0"/>
          <w:divBdr>
            <w:top w:val="none" w:sz="0" w:space="0" w:color="auto"/>
            <w:left w:val="none" w:sz="0" w:space="0" w:color="auto"/>
            <w:bottom w:val="none" w:sz="0" w:space="0" w:color="auto"/>
            <w:right w:val="none" w:sz="0" w:space="0" w:color="auto"/>
          </w:divBdr>
        </w:div>
        <w:div w:id="1548837228">
          <w:marLeft w:val="0"/>
          <w:marRight w:val="0"/>
          <w:marTop w:val="0"/>
          <w:marBottom w:val="0"/>
          <w:divBdr>
            <w:top w:val="none" w:sz="0" w:space="0" w:color="auto"/>
            <w:left w:val="none" w:sz="0" w:space="0" w:color="auto"/>
            <w:bottom w:val="none" w:sz="0" w:space="0" w:color="auto"/>
            <w:right w:val="none" w:sz="0" w:space="0" w:color="auto"/>
          </w:divBdr>
        </w:div>
        <w:div w:id="47842200">
          <w:marLeft w:val="0"/>
          <w:marRight w:val="0"/>
          <w:marTop w:val="0"/>
          <w:marBottom w:val="0"/>
          <w:divBdr>
            <w:top w:val="none" w:sz="0" w:space="0" w:color="auto"/>
            <w:left w:val="none" w:sz="0" w:space="0" w:color="auto"/>
            <w:bottom w:val="none" w:sz="0" w:space="0" w:color="auto"/>
            <w:right w:val="none" w:sz="0" w:space="0" w:color="auto"/>
          </w:divBdr>
        </w:div>
        <w:div w:id="1852337106">
          <w:marLeft w:val="0"/>
          <w:marRight w:val="0"/>
          <w:marTop w:val="0"/>
          <w:marBottom w:val="0"/>
          <w:divBdr>
            <w:top w:val="none" w:sz="0" w:space="0" w:color="auto"/>
            <w:left w:val="none" w:sz="0" w:space="0" w:color="auto"/>
            <w:bottom w:val="none" w:sz="0" w:space="0" w:color="auto"/>
            <w:right w:val="none" w:sz="0" w:space="0" w:color="auto"/>
          </w:divBdr>
        </w:div>
        <w:div w:id="151681467">
          <w:marLeft w:val="0"/>
          <w:marRight w:val="0"/>
          <w:marTop w:val="0"/>
          <w:marBottom w:val="0"/>
          <w:divBdr>
            <w:top w:val="none" w:sz="0" w:space="0" w:color="auto"/>
            <w:left w:val="none" w:sz="0" w:space="0" w:color="auto"/>
            <w:bottom w:val="none" w:sz="0" w:space="0" w:color="auto"/>
            <w:right w:val="none" w:sz="0" w:space="0" w:color="auto"/>
          </w:divBdr>
        </w:div>
      </w:divsChild>
    </w:div>
    <w:div w:id="730814115">
      <w:bodyDiv w:val="1"/>
      <w:marLeft w:val="0"/>
      <w:marRight w:val="0"/>
      <w:marTop w:val="0"/>
      <w:marBottom w:val="0"/>
      <w:divBdr>
        <w:top w:val="none" w:sz="0" w:space="0" w:color="auto"/>
        <w:left w:val="none" w:sz="0" w:space="0" w:color="auto"/>
        <w:bottom w:val="none" w:sz="0" w:space="0" w:color="auto"/>
        <w:right w:val="none" w:sz="0" w:space="0" w:color="auto"/>
      </w:divBdr>
      <w:divsChild>
        <w:div w:id="1676376590">
          <w:marLeft w:val="0"/>
          <w:marRight w:val="0"/>
          <w:marTop w:val="0"/>
          <w:marBottom w:val="0"/>
          <w:divBdr>
            <w:top w:val="none" w:sz="0" w:space="0" w:color="auto"/>
            <w:left w:val="none" w:sz="0" w:space="0" w:color="auto"/>
            <w:bottom w:val="none" w:sz="0" w:space="0" w:color="auto"/>
            <w:right w:val="none" w:sz="0" w:space="0" w:color="auto"/>
          </w:divBdr>
        </w:div>
        <w:div w:id="310407642">
          <w:marLeft w:val="0"/>
          <w:marRight w:val="0"/>
          <w:marTop w:val="0"/>
          <w:marBottom w:val="0"/>
          <w:divBdr>
            <w:top w:val="none" w:sz="0" w:space="0" w:color="auto"/>
            <w:left w:val="none" w:sz="0" w:space="0" w:color="auto"/>
            <w:bottom w:val="none" w:sz="0" w:space="0" w:color="auto"/>
            <w:right w:val="none" w:sz="0" w:space="0" w:color="auto"/>
          </w:divBdr>
        </w:div>
        <w:div w:id="1380322584">
          <w:marLeft w:val="0"/>
          <w:marRight w:val="0"/>
          <w:marTop w:val="0"/>
          <w:marBottom w:val="0"/>
          <w:divBdr>
            <w:top w:val="none" w:sz="0" w:space="0" w:color="auto"/>
            <w:left w:val="none" w:sz="0" w:space="0" w:color="auto"/>
            <w:bottom w:val="none" w:sz="0" w:space="0" w:color="auto"/>
            <w:right w:val="none" w:sz="0" w:space="0" w:color="auto"/>
          </w:divBdr>
        </w:div>
        <w:div w:id="1885361890">
          <w:marLeft w:val="0"/>
          <w:marRight w:val="0"/>
          <w:marTop w:val="0"/>
          <w:marBottom w:val="0"/>
          <w:divBdr>
            <w:top w:val="none" w:sz="0" w:space="0" w:color="auto"/>
            <w:left w:val="none" w:sz="0" w:space="0" w:color="auto"/>
            <w:bottom w:val="none" w:sz="0" w:space="0" w:color="auto"/>
            <w:right w:val="none" w:sz="0" w:space="0" w:color="auto"/>
          </w:divBdr>
        </w:div>
        <w:div w:id="797532605">
          <w:marLeft w:val="0"/>
          <w:marRight w:val="0"/>
          <w:marTop w:val="0"/>
          <w:marBottom w:val="0"/>
          <w:divBdr>
            <w:top w:val="none" w:sz="0" w:space="0" w:color="auto"/>
            <w:left w:val="none" w:sz="0" w:space="0" w:color="auto"/>
            <w:bottom w:val="none" w:sz="0" w:space="0" w:color="auto"/>
            <w:right w:val="none" w:sz="0" w:space="0" w:color="auto"/>
          </w:divBdr>
        </w:div>
        <w:div w:id="766653298">
          <w:marLeft w:val="0"/>
          <w:marRight w:val="0"/>
          <w:marTop w:val="0"/>
          <w:marBottom w:val="0"/>
          <w:divBdr>
            <w:top w:val="none" w:sz="0" w:space="0" w:color="auto"/>
            <w:left w:val="none" w:sz="0" w:space="0" w:color="auto"/>
            <w:bottom w:val="none" w:sz="0" w:space="0" w:color="auto"/>
            <w:right w:val="none" w:sz="0" w:space="0" w:color="auto"/>
          </w:divBdr>
        </w:div>
        <w:div w:id="679359823">
          <w:marLeft w:val="0"/>
          <w:marRight w:val="0"/>
          <w:marTop w:val="0"/>
          <w:marBottom w:val="0"/>
          <w:divBdr>
            <w:top w:val="none" w:sz="0" w:space="0" w:color="auto"/>
            <w:left w:val="none" w:sz="0" w:space="0" w:color="auto"/>
            <w:bottom w:val="none" w:sz="0" w:space="0" w:color="auto"/>
            <w:right w:val="none" w:sz="0" w:space="0" w:color="auto"/>
          </w:divBdr>
        </w:div>
      </w:divsChild>
    </w:div>
    <w:div w:id="834614394">
      <w:bodyDiv w:val="1"/>
      <w:marLeft w:val="0"/>
      <w:marRight w:val="0"/>
      <w:marTop w:val="0"/>
      <w:marBottom w:val="0"/>
      <w:divBdr>
        <w:top w:val="none" w:sz="0" w:space="0" w:color="auto"/>
        <w:left w:val="none" w:sz="0" w:space="0" w:color="auto"/>
        <w:bottom w:val="none" w:sz="0" w:space="0" w:color="auto"/>
        <w:right w:val="none" w:sz="0" w:space="0" w:color="auto"/>
      </w:divBdr>
      <w:divsChild>
        <w:div w:id="429199262">
          <w:marLeft w:val="0"/>
          <w:marRight w:val="0"/>
          <w:marTop w:val="0"/>
          <w:marBottom w:val="0"/>
          <w:divBdr>
            <w:top w:val="none" w:sz="0" w:space="0" w:color="auto"/>
            <w:left w:val="none" w:sz="0" w:space="0" w:color="auto"/>
            <w:bottom w:val="none" w:sz="0" w:space="0" w:color="auto"/>
            <w:right w:val="none" w:sz="0" w:space="0" w:color="auto"/>
          </w:divBdr>
        </w:div>
        <w:div w:id="1023897686">
          <w:marLeft w:val="0"/>
          <w:marRight w:val="0"/>
          <w:marTop w:val="0"/>
          <w:marBottom w:val="0"/>
          <w:divBdr>
            <w:top w:val="none" w:sz="0" w:space="0" w:color="auto"/>
            <w:left w:val="none" w:sz="0" w:space="0" w:color="auto"/>
            <w:bottom w:val="none" w:sz="0" w:space="0" w:color="auto"/>
            <w:right w:val="none" w:sz="0" w:space="0" w:color="auto"/>
          </w:divBdr>
        </w:div>
        <w:div w:id="1103304993">
          <w:marLeft w:val="0"/>
          <w:marRight w:val="0"/>
          <w:marTop w:val="0"/>
          <w:marBottom w:val="0"/>
          <w:divBdr>
            <w:top w:val="none" w:sz="0" w:space="0" w:color="auto"/>
            <w:left w:val="none" w:sz="0" w:space="0" w:color="auto"/>
            <w:bottom w:val="none" w:sz="0" w:space="0" w:color="auto"/>
            <w:right w:val="none" w:sz="0" w:space="0" w:color="auto"/>
          </w:divBdr>
        </w:div>
        <w:div w:id="453181858">
          <w:marLeft w:val="0"/>
          <w:marRight w:val="0"/>
          <w:marTop w:val="0"/>
          <w:marBottom w:val="0"/>
          <w:divBdr>
            <w:top w:val="none" w:sz="0" w:space="0" w:color="auto"/>
            <w:left w:val="none" w:sz="0" w:space="0" w:color="auto"/>
            <w:bottom w:val="none" w:sz="0" w:space="0" w:color="auto"/>
            <w:right w:val="none" w:sz="0" w:space="0" w:color="auto"/>
          </w:divBdr>
        </w:div>
        <w:div w:id="515777227">
          <w:marLeft w:val="0"/>
          <w:marRight w:val="0"/>
          <w:marTop w:val="0"/>
          <w:marBottom w:val="0"/>
          <w:divBdr>
            <w:top w:val="none" w:sz="0" w:space="0" w:color="auto"/>
            <w:left w:val="none" w:sz="0" w:space="0" w:color="auto"/>
            <w:bottom w:val="none" w:sz="0" w:space="0" w:color="auto"/>
            <w:right w:val="none" w:sz="0" w:space="0" w:color="auto"/>
          </w:divBdr>
        </w:div>
        <w:div w:id="1479344674">
          <w:marLeft w:val="0"/>
          <w:marRight w:val="0"/>
          <w:marTop w:val="0"/>
          <w:marBottom w:val="0"/>
          <w:divBdr>
            <w:top w:val="none" w:sz="0" w:space="0" w:color="auto"/>
            <w:left w:val="none" w:sz="0" w:space="0" w:color="auto"/>
            <w:bottom w:val="none" w:sz="0" w:space="0" w:color="auto"/>
            <w:right w:val="none" w:sz="0" w:space="0" w:color="auto"/>
          </w:divBdr>
        </w:div>
      </w:divsChild>
    </w:div>
    <w:div w:id="1190872041">
      <w:bodyDiv w:val="1"/>
      <w:marLeft w:val="0"/>
      <w:marRight w:val="0"/>
      <w:marTop w:val="0"/>
      <w:marBottom w:val="0"/>
      <w:divBdr>
        <w:top w:val="none" w:sz="0" w:space="0" w:color="auto"/>
        <w:left w:val="none" w:sz="0" w:space="0" w:color="auto"/>
        <w:bottom w:val="none" w:sz="0" w:space="0" w:color="auto"/>
        <w:right w:val="none" w:sz="0" w:space="0" w:color="auto"/>
      </w:divBdr>
      <w:divsChild>
        <w:div w:id="320810783">
          <w:marLeft w:val="0"/>
          <w:marRight w:val="0"/>
          <w:marTop w:val="0"/>
          <w:marBottom w:val="0"/>
          <w:divBdr>
            <w:top w:val="none" w:sz="0" w:space="0" w:color="auto"/>
            <w:left w:val="none" w:sz="0" w:space="0" w:color="auto"/>
            <w:bottom w:val="none" w:sz="0" w:space="0" w:color="auto"/>
            <w:right w:val="none" w:sz="0" w:space="0" w:color="auto"/>
          </w:divBdr>
        </w:div>
        <w:div w:id="1264611316">
          <w:marLeft w:val="0"/>
          <w:marRight w:val="0"/>
          <w:marTop w:val="0"/>
          <w:marBottom w:val="0"/>
          <w:divBdr>
            <w:top w:val="none" w:sz="0" w:space="0" w:color="auto"/>
            <w:left w:val="none" w:sz="0" w:space="0" w:color="auto"/>
            <w:bottom w:val="none" w:sz="0" w:space="0" w:color="auto"/>
            <w:right w:val="none" w:sz="0" w:space="0" w:color="auto"/>
          </w:divBdr>
        </w:div>
        <w:div w:id="164368713">
          <w:marLeft w:val="0"/>
          <w:marRight w:val="0"/>
          <w:marTop w:val="0"/>
          <w:marBottom w:val="0"/>
          <w:divBdr>
            <w:top w:val="none" w:sz="0" w:space="0" w:color="auto"/>
            <w:left w:val="none" w:sz="0" w:space="0" w:color="auto"/>
            <w:bottom w:val="none" w:sz="0" w:space="0" w:color="auto"/>
            <w:right w:val="none" w:sz="0" w:space="0" w:color="auto"/>
          </w:divBdr>
        </w:div>
        <w:div w:id="761292218">
          <w:marLeft w:val="0"/>
          <w:marRight w:val="0"/>
          <w:marTop w:val="0"/>
          <w:marBottom w:val="0"/>
          <w:divBdr>
            <w:top w:val="none" w:sz="0" w:space="0" w:color="auto"/>
            <w:left w:val="none" w:sz="0" w:space="0" w:color="auto"/>
            <w:bottom w:val="none" w:sz="0" w:space="0" w:color="auto"/>
            <w:right w:val="none" w:sz="0" w:space="0" w:color="auto"/>
          </w:divBdr>
        </w:div>
        <w:div w:id="908465352">
          <w:marLeft w:val="0"/>
          <w:marRight w:val="0"/>
          <w:marTop w:val="0"/>
          <w:marBottom w:val="0"/>
          <w:divBdr>
            <w:top w:val="none" w:sz="0" w:space="0" w:color="auto"/>
            <w:left w:val="none" w:sz="0" w:space="0" w:color="auto"/>
            <w:bottom w:val="none" w:sz="0" w:space="0" w:color="auto"/>
            <w:right w:val="none" w:sz="0" w:space="0" w:color="auto"/>
          </w:divBdr>
        </w:div>
        <w:div w:id="1178153505">
          <w:marLeft w:val="0"/>
          <w:marRight w:val="0"/>
          <w:marTop w:val="0"/>
          <w:marBottom w:val="0"/>
          <w:divBdr>
            <w:top w:val="none" w:sz="0" w:space="0" w:color="auto"/>
            <w:left w:val="none" w:sz="0" w:space="0" w:color="auto"/>
            <w:bottom w:val="none" w:sz="0" w:space="0" w:color="auto"/>
            <w:right w:val="none" w:sz="0" w:space="0" w:color="auto"/>
          </w:divBdr>
        </w:div>
      </w:divsChild>
    </w:div>
    <w:div w:id="1763256973">
      <w:bodyDiv w:val="1"/>
      <w:marLeft w:val="0"/>
      <w:marRight w:val="0"/>
      <w:marTop w:val="0"/>
      <w:marBottom w:val="0"/>
      <w:divBdr>
        <w:top w:val="none" w:sz="0" w:space="0" w:color="auto"/>
        <w:left w:val="none" w:sz="0" w:space="0" w:color="auto"/>
        <w:bottom w:val="none" w:sz="0" w:space="0" w:color="auto"/>
        <w:right w:val="none" w:sz="0" w:space="0" w:color="auto"/>
      </w:divBdr>
      <w:divsChild>
        <w:div w:id="1956667363">
          <w:marLeft w:val="0"/>
          <w:marRight w:val="0"/>
          <w:marTop w:val="0"/>
          <w:marBottom w:val="0"/>
          <w:divBdr>
            <w:top w:val="none" w:sz="0" w:space="0" w:color="auto"/>
            <w:left w:val="none" w:sz="0" w:space="0" w:color="auto"/>
            <w:bottom w:val="none" w:sz="0" w:space="0" w:color="auto"/>
            <w:right w:val="none" w:sz="0" w:space="0" w:color="auto"/>
          </w:divBdr>
        </w:div>
        <w:div w:id="1040082948">
          <w:marLeft w:val="0"/>
          <w:marRight w:val="0"/>
          <w:marTop w:val="0"/>
          <w:marBottom w:val="0"/>
          <w:divBdr>
            <w:top w:val="none" w:sz="0" w:space="0" w:color="auto"/>
            <w:left w:val="none" w:sz="0" w:space="0" w:color="auto"/>
            <w:bottom w:val="none" w:sz="0" w:space="0" w:color="auto"/>
            <w:right w:val="none" w:sz="0" w:space="0" w:color="auto"/>
          </w:divBdr>
        </w:div>
        <w:div w:id="151063921">
          <w:marLeft w:val="0"/>
          <w:marRight w:val="0"/>
          <w:marTop w:val="0"/>
          <w:marBottom w:val="0"/>
          <w:divBdr>
            <w:top w:val="none" w:sz="0" w:space="0" w:color="auto"/>
            <w:left w:val="none" w:sz="0" w:space="0" w:color="auto"/>
            <w:bottom w:val="none" w:sz="0" w:space="0" w:color="auto"/>
            <w:right w:val="none" w:sz="0" w:space="0" w:color="auto"/>
          </w:divBdr>
        </w:div>
        <w:div w:id="554123174">
          <w:marLeft w:val="0"/>
          <w:marRight w:val="0"/>
          <w:marTop w:val="0"/>
          <w:marBottom w:val="0"/>
          <w:divBdr>
            <w:top w:val="none" w:sz="0" w:space="0" w:color="auto"/>
            <w:left w:val="none" w:sz="0" w:space="0" w:color="auto"/>
            <w:bottom w:val="none" w:sz="0" w:space="0" w:color="auto"/>
            <w:right w:val="none" w:sz="0" w:space="0" w:color="auto"/>
          </w:divBdr>
        </w:div>
        <w:div w:id="1584794698">
          <w:marLeft w:val="0"/>
          <w:marRight w:val="0"/>
          <w:marTop w:val="0"/>
          <w:marBottom w:val="0"/>
          <w:divBdr>
            <w:top w:val="none" w:sz="0" w:space="0" w:color="auto"/>
            <w:left w:val="none" w:sz="0" w:space="0" w:color="auto"/>
            <w:bottom w:val="none" w:sz="0" w:space="0" w:color="auto"/>
            <w:right w:val="none" w:sz="0" w:space="0" w:color="auto"/>
          </w:divBdr>
        </w:div>
        <w:div w:id="1888639076">
          <w:marLeft w:val="0"/>
          <w:marRight w:val="0"/>
          <w:marTop w:val="0"/>
          <w:marBottom w:val="0"/>
          <w:divBdr>
            <w:top w:val="none" w:sz="0" w:space="0" w:color="auto"/>
            <w:left w:val="none" w:sz="0" w:space="0" w:color="auto"/>
            <w:bottom w:val="none" w:sz="0" w:space="0" w:color="auto"/>
            <w:right w:val="none" w:sz="0" w:space="0" w:color="auto"/>
          </w:divBdr>
        </w:div>
        <w:div w:id="371614866">
          <w:marLeft w:val="0"/>
          <w:marRight w:val="0"/>
          <w:marTop w:val="0"/>
          <w:marBottom w:val="0"/>
          <w:divBdr>
            <w:top w:val="none" w:sz="0" w:space="0" w:color="auto"/>
            <w:left w:val="none" w:sz="0" w:space="0" w:color="auto"/>
            <w:bottom w:val="none" w:sz="0" w:space="0" w:color="auto"/>
            <w:right w:val="none" w:sz="0" w:space="0" w:color="auto"/>
          </w:divBdr>
        </w:div>
        <w:div w:id="15405551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789</TotalTime>
  <Pages>17</Pages>
  <Words>1507</Words>
  <Characters>8594</Characters>
  <Application>Microsoft Office Word</Application>
  <DocSecurity>0</DocSecurity>
  <Lines>71</Lines>
  <Paragraphs>20</Paragraphs>
  <ScaleCrop>false</ScaleCrop>
  <Company/>
  <LinksUpToDate>false</LinksUpToDate>
  <CharactersWithSpaces>10081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晓柯 张</dc:creator>
  <cp:keywords/>
  <dc:description/>
  <cp:lastModifiedBy>Microsoft Office User</cp:lastModifiedBy>
  <cp:revision>56</cp:revision>
  <dcterms:created xsi:type="dcterms:W3CDTF">2023-11-23T11:03:00Z</dcterms:created>
  <dcterms:modified xsi:type="dcterms:W3CDTF">2025-11-21T13:30:00Z</dcterms:modified>
</cp:coreProperties>
</file>