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FC52A6">
      <w:pPr>
        <w:jc w:val="center"/>
        <w:rPr>
          <w:rFonts w:hint="eastAsia" w:ascii="宋体" w:hAnsi="宋体" w:eastAsia="宋体" w:cs="宋体"/>
          <w:sz w:val="24"/>
          <w:szCs w:val="24"/>
        </w:rPr>
      </w:pPr>
      <w:r>
        <w:rPr>
          <w:rFonts w:hint="eastAsia" w:ascii="宋体" w:hAnsi="宋体" w:eastAsia="宋体" w:cs="宋体"/>
          <w:sz w:val="32"/>
          <w:szCs w:val="32"/>
        </w:rPr>
        <w:t>中合担保订单融资模式：一份来自课堂外的金融实务报告</w:t>
      </w:r>
    </w:p>
    <w:p w14:paraId="03AD89F5">
      <w:pPr>
        <w:jc w:val="righ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案例来源：《中合依托智能风控打造的供应链订单融资模式》（中国融资担保协会）</w:t>
      </w:r>
    </w:p>
    <w:p w14:paraId="2F797A9A">
      <w:pPr>
        <w:keepNext w:val="0"/>
        <w:keepLines w:val="0"/>
        <w:pageBreakBefore w:val="0"/>
        <w:widowControl w:val="0"/>
        <w:kinsoku/>
        <w:wordWrap/>
        <w:overflowPunct/>
        <w:topLinePunct w:val="0"/>
        <w:autoSpaceDE/>
        <w:autoSpaceDN/>
        <w:bidi w:val="0"/>
        <w:adjustRightInd/>
        <w:snapToGrid/>
        <w:spacing w:before="95" w:beforeLines="30" w:after="95" w:afterLines="30"/>
        <w:textAlignment w:val="auto"/>
        <w:rPr>
          <w:rFonts w:hint="eastAsia" w:ascii="宋体" w:hAnsi="宋体" w:eastAsia="宋体" w:cs="宋体"/>
          <w:sz w:val="24"/>
          <w:szCs w:val="24"/>
        </w:rPr>
      </w:pPr>
      <w:r>
        <w:rPr>
          <w:rFonts w:hint="eastAsia" w:ascii="宋体" w:hAnsi="宋体" w:eastAsia="宋体" w:cs="宋体"/>
          <w:sz w:val="24"/>
          <w:szCs w:val="24"/>
        </w:rPr>
        <w:t>中合担保供应链订单融资模式</w:t>
      </w:r>
      <w:r>
        <w:rPr>
          <w:rFonts w:hint="eastAsia" w:ascii="宋体" w:hAnsi="宋体" w:eastAsia="宋体" w:cs="宋体"/>
          <w:b/>
          <w:bCs/>
          <w:sz w:val="24"/>
          <w:szCs w:val="24"/>
          <w:lang w:val="en-US" w:eastAsia="zh-CN"/>
        </w:rPr>
        <w:t>案例简述</w:t>
      </w:r>
    </w:p>
    <w:p w14:paraId="2FAFC4FB">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背景</w:t>
      </w:r>
      <w:r>
        <w:rPr>
          <w:rFonts w:hint="eastAsia" w:ascii="宋体" w:hAnsi="宋体" w:eastAsia="宋体" w:cs="宋体"/>
          <w:sz w:val="24"/>
          <w:szCs w:val="24"/>
        </w:rPr>
        <w:t>：中合中小企业融资担保股份有限公司围绕中国宝武钢铁集团上游原料采购供应链，推出“供应商订单融资产品”。</w:t>
      </w:r>
    </w:p>
    <w:p w14:paraId="26FB2CCA">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举措</w:t>
      </w:r>
      <w:r>
        <w:rPr>
          <w:rFonts w:hint="eastAsia" w:ascii="宋体" w:hAnsi="宋体" w:eastAsia="宋体" w:cs="宋体"/>
          <w:sz w:val="24"/>
          <w:szCs w:val="24"/>
        </w:rPr>
        <w:t>：山西A公司作为宝武集团的优质供应商，与中合担保合作。中合担保通过核验订单真实性、引入第三方监管、核查结算单、锁定资金用途、进行应收账款登记、追加连带责任保证担保、采用资金闭环方式等措施，为A公司提供基于订单的融资服务。</w:t>
      </w:r>
    </w:p>
    <w:p w14:paraId="58E6A99E">
      <w:pPr>
        <w:keepNext w:val="0"/>
        <w:keepLines w:val="0"/>
        <w:pageBreakBefore w:val="0"/>
        <w:widowControl w:val="0"/>
        <w:kinsoku/>
        <w:wordWrap/>
        <w:overflowPunct/>
        <w:topLinePunct w:val="0"/>
        <w:autoSpaceDE/>
        <w:autoSpaceDN/>
        <w:bidi w:val="0"/>
        <w:adjustRightInd/>
        <w:snapToGrid/>
        <w:spacing w:after="126" w:afterLines="40"/>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成效</w:t>
      </w:r>
      <w:r>
        <w:rPr>
          <w:rFonts w:hint="eastAsia" w:ascii="宋体" w:hAnsi="宋体" w:eastAsia="宋体" w:cs="宋体"/>
          <w:sz w:val="24"/>
          <w:szCs w:val="24"/>
        </w:rPr>
        <w:t>：产品上线一个月，A公司就使用保理融资额度3500万元，提高了企业运营效率，降低了融资成本，解决了应收账款积压问题。</w:t>
      </w:r>
    </w:p>
    <w:p w14:paraId="4DC93009">
      <w:pPr>
        <w:keepNext w:val="0"/>
        <w:keepLines w:val="0"/>
        <w:pageBreakBefore w:val="0"/>
        <w:widowControl w:val="0"/>
        <w:kinsoku/>
        <w:wordWrap/>
        <w:overflowPunct/>
        <w:topLinePunct w:val="0"/>
        <w:autoSpaceDE/>
        <w:autoSpaceDN/>
        <w:bidi w:val="0"/>
        <w:adjustRightInd/>
        <w:snapToGrid/>
        <w:spacing w:after="126" w:afterLines="4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读书报告：</w:t>
      </w:r>
      <w:bookmarkStart w:id="0" w:name="_GoBack"/>
      <w:bookmarkEnd w:id="0"/>
    </w:p>
    <w:p w14:paraId="2F8BCAF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在《供应链金融》课程的书本里，“订单融资”只是一个抽象的概念和几行定义。直到我深入研究中合中小企业融资担保股份有限公司为中国宝武钢铁集团上游供应商设计的“供应商订单融资产品”案例，那些冰冷的理论才在我眼前活了起来。这份报告，记录的是我从这个鲜活案例中咀嚼出的个人领悟——关于金融如何真正服务于实体，以及风险管控的智慧。</w:t>
      </w:r>
    </w:p>
    <w:p w14:paraId="687E1786">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宋体" w:hAnsi="宋体" w:eastAsia="宋体" w:cs="宋体"/>
          <w:b/>
          <w:bCs/>
          <w:sz w:val="24"/>
          <w:szCs w:val="24"/>
        </w:rPr>
      </w:pPr>
      <w:r>
        <w:rPr>
          <w:rFonts w:hint="eastAsia" w:ascii="宋体" w:hAnsi="宋体" w:eastAsia="宋体" w:cs="宋体"/>
          <w:b/>
          <w:bCs/>
          <w:sz w:val="24"/>
          <w:szCs w:val="24"/>
        </w:rPr>
        <w:t>一、 “订单”的价值：颠覆我认知的信用基石</w:t>
      </w:r>
    </w:p>
    <w:p w14:paraId="4D3FC18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前学“信用风险”，我的思维总是被教科书束缚在“抵押物”、“财务报表”、“核心企业担保”这些传统要素里。中合担保围绕山西A公司与宝武集团的订单做文章，打穿了我的思维定式。我恍然大悟：一份来自宝武这样信用卓著买方的、真实的、可执行的采购订单，其本身就是一笔巨大的、流动的信用资产</w:t>
      </w:r>
      <w:r>
        <w:rPr>
          <w:rFonts w:hint="eastAsia" w:ascii="宋体" w:hAnsi="宋体" w:eastAsia="宋体" w:cs="宋体"/>
          <w:sz w:val="24"/>
          <w:szCs w:val="24"/>
          <w:lang w:eastAsia="zh-CN"/>
        </w:rPr>
        <w:t>。</w:t>
      </w:r>
      <w:r>
        <w:rPr>
          <w:rFonts w:hint="eastAsia" w:ascii="宋体" w:hAnsi="宋体" w:eastAsia="宋体" w:cs="宋体"/>
          <w:sz w:val="24"/>
          <w:szCs w:val="24"/>
        </w:rPr>
        <w:t>它明确指向了未来的、确定的现金流，比许多飘渺的承诺或难以变现的固定资产更有说服力。这让我深刻理解了什么叫“交易信用”优先于“主体信用”——中合没有死盯着A公司可能并不雄厚的家底，而是把目光聚焦在“这笔交易是否真实可靠”上。他们通过严谨的订单核验和结算单核查，就是在反复确认这笔未来现金流的确定性。这对我触动很大，原来金融创新的第一步，就是打破对传统增信路径的依赖，敏锐地发现并认可那些被忽略的、基于真实交易的信用价值。</w:t>
      </w:r>
    </w:p>
    <w:p w14:paraId="26E7BACC">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宋体" w:hAnsi="宋体" w:eastAsia="宋体" w:cs="宋体"/>
          <w:sz w:val="24"/>
          <w:szCs w:val="24"/>
        </w:rPr>
      </w:pPr>
      <w:r>
        <w:rPr>
          <w:rFonts w:hint="eastAsia" w:ascii="宋体" w:hAnsi="宋体" w:eastAsia="宋体" w:cs="宋体"/>
          <w:b/>
          <w:bCs/>
          <w:sz w:val="24"/>
          <w:szCs w:val="24"/>
        </w:rPr>
        <w:t>二、 风控闭环：一堂生动的风险管理实战课</w:t>
      </w:r>
    </w:p>
    <w:p w14:paraId="6570F6A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课堂上学风险控制模型时，</w:t>
      </w:r>
      <w:r>
        <w:rPr>
          <w:rFonts w:hint="eastAsia" w:ascii="宋体" w:hAnsi="宋体" w:eastAsia="宋体" w:cs="宋体"/>
          <w:sz w:val="24"/>
          <w:szCs w:val="24"/>
          <w:lang w:val="en-US" w:eastAsia="zh-CN"/>
        </w:rPr>
        <w:t>都是在学习理论</w:t>
      </w:r>
      <w:r>
        <w:rPr>
          <w:rFonts w:hint="eastAsia" w:ascii="宋体" w:hAnsi="宋体" w:eastAsia="宋体" w:cs="宋体"/>
          <w:sz w:val="24"/>
          <w:szCs w:val="24"/>
        </w:rPr>
        <w:t>。中合在这个案例中的风控举措，则给我上了一堂实实在在的、令人叹服的实战课。我尝试梳理他们构建的这张风险防护网，每一步都让我看到其设计的精妙与务实：</w:t>
      </w:r>
    </w:p>
    <w:p w14:paraId="1A4EA2D3">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1.引入第三方监管： 这不是简单的找个仓库，而是确保货物权属清晰、物理安全的关键，从源头上控制住了核心的“物”的风险。我联想到课本上讲的“货权控制”，在这里得到了最直观的体现。</w:t>
      </w:r>
    </w:p>
    <w:p w14:paraId="17138C0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2.锁定资金用途： “专款专用”四个字，我过去觉得是形式要求。但在这个案例中，我理解了它的核心意义——防止资金被挪用，确保融资真正服务于产生这笔信用的订单生产或采购，这是保证还款来源不被稀释的关键。</w:t>
      </w:r>
    </w:p>
    <w:p w14:paraId="28AE452D">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3.核查结算单 &amp; 应收账款登记： 这不仅仅是核对数字，更是法律上的确权动作。特别是应收账款登记，让我意识到这不仅是公示，更是在法律层面锁定了还款来源的优先权，是确权保障的硬核操作。</w:t>
      </w:r>
    </w:p>
    <w:p w14:paraId="7A7BAE2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4.追加连带责任保证担保： 这像是最后一道安全绳。虽然核心是基于订单信用，但多一层主体担保，无疑为风险处置提供了更多缓冲和选择。这让我理解了风险管理的“分层防御”思想。</w:t>
      </w:r>
    </w:p>
    <w:p w14:paraId="5A19674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5.资金闭环： 这是整个风控设计的“点睛之笔”，也是让我最感震撼的地方。所有回款必须进入指定监管账户，资金流向被严密监控并在闭环内循环。这最大限度地切断了资金被截留、挪用的可能性，将操作风险和道德风险压缩到最低。它完美印证了风险管理课上老师反复强调的核心：“控制住现金流，就控制住了风险的命脉”。这种对资金流的强控思维，给我留下了极其深刻的印象。</w:t>
      </w:r>
    </w:p>
    <w:p w14:paraId="7F3C69C9">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宋体" w:hAnsi="宋体" w:eastAsia="宋体" w:cs="宋体"/>
          <w:b/>
          <w:bCs/>
          <w:sz w:val="24"/>
          <w:szCs w:val="24"/>
        </w:rPr>
      </w:pP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 我的启示与憧憬：从理论到实践的桥梁</w:t>
      </w:r>
    </w:p>
    <w:p w14:paraId="1338E4EA">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研究中合这个案例，对我而言是一次思维的重塑和视野的开拓</w:t>
      </w:r>
      <w:r>
        <w:rPr>
          <w:rFonts w:hint="eastAsia" w:ascii="宋体" w:hAnsi="宋体" w:eastAsia="宋体" w:cs="宋体"/>
          <w:sz w:val="24"/>
          <w:szCs w:val="24"/>
          <w:lang w:eastAsia="zh-CN"/>
        </w:rPr>
        <w:t>。</w:t>
      </w:r>
    </w:p>
    <w:p w14:paraId="43770001">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痛点即起点</w:t>
      </w:r>
      <w:r>
        <w:rPr>
          <w:rFonts w:hint="eastAsia" w:ascii="宋体" w:hAnsi="宋体" w:eastAsia="宋体" w:cs="宋体"/>
          <w:sz w:val="24"/>
          <w:szCs w:val="24"/>
          <w:lang w:eastAsia="zh-CN"/>
        </w:rPr>
        <w:t>：</w:t>
      </w:r>
      <w:r>
        <w:rPr>
          <w:rFonts w:hint="eastAsia" w:ascii="宋体" w:hAnsi="宋体" w:eastAsia="宋体" w:cs="宋体"/>
          <w:sz w:val="24"/>
          <w:szCs w:val="24"/>
        </w:rPr>
        <w:t>我深刻认识到，有价值的金融创新绝非闭门造车，必须深深植根于产业运行的痛点。宝武上游供应商面临的融资难、账期长问题，正是中合模式创新的原点。这启示我，未来无论是学习还是工作，都必须沉下去，理解产业真实的运作逻辑和痛点所在。</w:t>
      </w:r>
    </w:p>
    <w:p w14:paraId="0E6193A3">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风控是生命线</w:t>
      </w:r>
      <w:r>
        <w:rPr>
          <w:rFonts w:hint="eastAsia" w:ascii="宋体" w:hAnsi="宋体" w:eastAsia="宋体" w:cs="宋体"/>
          <w:sz w:val="24"/>
          <w:szCs w:val="24"/>
          <w:lang w:eastAsia="zh-CN"/>
        </w:rPr>
        <w:t>：</w:t>
      </w:r>
      <w:r>
        <w:rPr>
          <w:rFonts w:hint="eastAsia" w:ascii="宋体" w:hAnsi="宋体" w:eastAsia="宋体" w:cs="宋体"/>
          <w:sz w:val="24"/>
          <w:szCs w:val="24"/>
        </w:rPr>
        <w:t>所有的金融创新，无论理念多么先进，最终必须落地到可执行、可验证的风险管理闭环上。中合的“七道锁链”就是最好的例证。它让我彻底摒弃了对那些脱离实质风控、追求噱头的“伪创新”的幻想。凯恩斯那句“市场非理性的时间可能长过你保持偿付能力的时间”的警告，在此刻显得格外振聋发聩。</w:t>
      </w:r>
    </w:p>
    <w:p w14:paraId="506FC898">
      <w:pPr>
        <w:keepNext w:val="0"/>
        <w:keepLines w:val="0"/>
        <w:pageBreakBefore w:val="0"/>
        <w:widowControl w:val="0"/>
        <w:kinsoku/>
        <w:wordWrap/>
        <w:overflowPunct/>
        <w:topLinePunct w:val="0"/>
        <w:autoSpaceDE/>
        <w:autoSpaceDN/>
        <w:bidi w:val="0"/>
        <w:adjustRightInd/>
        <w:snapToGrid/>
        <w:ind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技术赋能未来</w:t>
      </w:r>
      <w:r>
        <w:rPr>
          <w:rFonts w:hint="eastAsia" w:ascii="宋体" w:hAnsi="宋体" w:eastAsia="宋体" w:cs="宋体"/>
          <w:sz w:val="24"/>
          <w:szCs w:val="24"/>
          <w:lang w:eastAsia="zh-CN"/>
        </w:rPr>
        <w:t>：</w:t>
      </w:r>
      <w:r>
        <w:rPr>
          <w:rFonts w:hint="eastAsia" w:ascii="宋体" w:hAnsi="宋体" w:eastAsia="宋体" w:cs="宋体"/>
          <w:sz w:val="24"/>
          <w:szCs w:val="24"/>
        </w:rPr>
        <w:t>展望这个模式的未来，我充满期待。我设想，如果结合区块链技术，实现宝武订单系统、物流信息与中合融资平台的链上可信共享（数据“可用不可见”），订单核验和货物监管的效率与可信度将极大提升。物联网技术也能让第三方监管更加智能和实时。大数据则能更精准地评估订单执行风险和动态调整风控策略。这让我看到金融科技与产业场景深度融合的巨大潜力。</w:t>
      </w:r>
    </w:p>
    <w:p w14:paraId="481E99E4">
      <w:pPr>
        <w:keepNext w:val="0"/>
        <w:keepLines w:val="0"/>
        <w:pageBreakBefore w:val="0"/>
        <w:widowControl w:val="0"/>
        <w:kinsoku/>
        <w:wordWrap/>
        <w:overflowPunct/>
        <w:topLinePunct w:val="0"/>
        <w:autoSpaceDE/>
        <w:autoSpaceDN/>
        <w:bidi w:val="0"/>
        <w:adjustRightInd/>
        <w:snapToGrid/>
        <w:spacing w:before="95" w:beforeLines="30" w:after="95" w:afterLines="30"/>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这份关于中合担保供应链订单融资模式的报告，远不止于复述一个商业案例。它是我将课堂理论对照现实世界的一次宝贵尝试，一次关于金融本质、风险管理和创新路径的深刻思想洗礼。我惊叹于“订单”这一日常商业元素被赋予的信用魔力，折服于那环环相扣、密不透风的风险管理智慧，更感动于金融活水精准滴灌后给中小企业带来的切实改变。</w:t>
      </w:r>
    </w:p>
    <w:p w14:paraId="7E391F50">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中合”之名，此刻在我心中有了更深的含义——“合”于产业之需，精准锚定供应链痛点；“合”于风控之道，构建坚不可摧的闭环保障；归根结底，是“合”于金融的本源初心——服务实体经济，促进价值创造。这堂来自真实商业世界的“课”，其分量远超万卷书。它点燃了我对务实金融创新的热情，也在我心中埋下了一颗种子：未来若投身金融领域，定当以此为镜，努力成为连接金融活水与产业沃土的桥梁，让金融的创新之力，真正合拍于实体经济的脉搏。这份理解与志向，是我研究此案例最大的收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5B4AF6"/>
    <w:rsid w:val="291B0D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2317</Words>
  <Characters>2325</Characters>
  <Lines>0</Lines>
  <Paragraphs>0</Paragraphs>
  <TotalTime>26</TotalTime>
  <ScaleCrop>false</ScaleCrop>
  <LinksUpToDate>false</LinksUpToDate>
  <CharactersWithSpaces>2351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2025-06-12T11:39:00Z</dcterms:created>
  <dc:creator>27495</dc:creator>
  <cp:lastModifiedBy>兔叽এ.</cp:lastModifiedBy>
  <dcterms:modified xsi:type="dcterms:W3CDTF">2025-06-12T12:49:10Z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eyJoZGlkIjoiMjBmYjIyNzc1NWQ0MjFhYjJmM2JiNGIxNjgxZmQ2NjciLCJ1c2VySWQiOiI2NDgyMDQ1NDUifQ==</vt:lpwstr>
  </property>
  <property fmtid="{D5CDD505-2E9C-101B-9397-08002B2CF9AE}" pid="4" name="ICV">
    <vt:lpwstr>C0F38C0BE17E4957A39AE6B264A6285B_12</vt:lpwstr>
  </property>
</Properties>
</file>