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A0DD3C">
      <w:pPr>
        <w:jc w:val="center"/>
        <w:rPr>
          <w:rFonts w:hint="eastAsia" w:ascii="宋体" w:hAnsi="宋体" w:eastAsia="宋体" w:cs="宋体"/>
          <w:sz w:val="24"/>
          <w:szCs w:val="32"/>
        </w:rPr>
      </w:pPr>
      <w:r>
        <w:rPr>
          <w:rFonts w:hint="eastAsia" w:ascii="宋体" w:hAnsi="宋体" w:eastAsia="宋体" w:cs="宋体"/>
          <w:b/>
          <w:bCs/>
          <w:sz w:val="28"/>
          <w:szCs w:val="36"/>
        </w:rPr>
        <w:t>供应链金融：一纸“承诺函”中的信用流转与产业共生</w:t>
      </w:r>
      <w:r>
        <w:rPr>
          <w:rFonts w:hint="eastAsia" w:ascii="宋体" w:hAnsi="宋体" w:eastAsia="宋体" w:cs="宋体"/>
          <w:sz w:val="24"/>
          <w:szCs w:val="32"/>
        </w:rPr>
        <w:t xml:space="preserve"> </w:t>
      </w:r>
    </w:p>
    <w:p w14:paraId="6C1803D5">
      <w:pPr>
        <w:jc w:val="right"/>
        <w:rPr>
          <w:rFonts w:hint="eastAsia" w:ascii="宋体" w:hAnsi="宋体" w:eastAsia="宋体" w:cs="宋体"/>
          <w:sz w:val="24"/>
          <w:szCs w:val="32"/>
        </w:rPr>
      </w:pPr>
      <w:r>
        <w:rPr>
          <w:rFonts w:hint="eastAsia" w:ascii="宋体" w:hAnsi="宋体" w:eastAsia="宋体" w:cs="宋体"/>
          <w:sz w:val="24"/>
          <w:szCs w:val="32"/>
        </w:rPr>
        <w:t>——由上达电子试点引发的思考</w:t>
      </w:r>
    </w:p>
    <w:p w14:paraId="1C21AC12">
      <w:pPr>
        <w:jc w:val="right"/>
        <w:rPr>
          <w:rFonts w:hint="default" w:ascii="宋体" w:hAnsi="宋体" w:eastAsia="宋体" w:cs="宋体"/>
          <w:sz w:val="24"/>
          <w:szCs w:val="32"/>
          <w:lang w:val="en-US" w:eastAsia="zh-CN"/>
        </w:rPr>
      </w:pPr>
      <w:r>
        <w:rPr>
          <w:rFonts w:hint="eastAsia" w:ascii="宋体" w:hAnsi="宋体" w:eastAsia="宋体" w:cs="宋体"/>
          <w:sz w:val="24"/>
          <w:szCs w:val="32"/>
          <w:lang w:val="en-US" w:eastAsia="zh-CN"/>
        </w:rPr>
        <w:t xml:space="preserve">             案例来源：《湖北黄石：供应链金融“上达模式”助小微企业融资》（中国金融新闻网）</w:t>
      </w:r>
    </w:p>
    <w:p w14:paraId="7D00D623">
      <w:pPr>
        <w:keepNext w:val="0"/>
        <w:keepLines w:val="0"/>
        <w:pageBreakBefore w:val="0"/>
        <w:widowControl w:val="0"/>
        <w:kinsoku/>
        <w:wordWrap/>
        <w:overflowPunct/>
        <w:topLinePunct w:val="0"/>
        <w:autoSpaceDE/>
        <w:autoSpaceDN/>
        <w:bidi w:val="0"/>
        <w:adjustRightInd/>
        <w:snapToGrid/>
        <w:spacing w:before="157" w:beforeLines="50" w:after="157" w:afterLines="50"/>
        <w:jc w:val="left"/>
        <w:textAlignment w:val="auto"/>
        <w:rPr>
          <w:rFonts w:hint="default" w:ascii="宋体" w:hAnsi="宋体" w:eastAsia="宋体" w:cs="宋体"/>
          <w:sz w:val="24"/>
          <w:szCs w:val="32"/>
          <w:lang w:val="en-US" w:eastAsia="zh-CN"/>
        </w:rPr>
      </w:pPr>
      <w:r>
        <w:rPr>
          <w:rFonts w:hint="default" w:ascii="宋体" w:hAnsi="宋体" w:eastAsia="宋体" w:cs="宋体"/>
          <w:sz w:val="24"/>
          <w:szCs w:val="32"/>
          <w:lang w:val="en-US" w:eastAsia="zh-CN"/>
        </w:rPr>
        <w:t>上达电子供应链金融试点</w:t>
      </w:r>
      <w:r>
        <w:rPr>
          <w:rFonts w:hint="eastAsia" w:ascii="宋体" w:hAnsi="宋体" w:eastAsia="宋体" w:cs="宋体"/>
          <w:b/>
          <w:bCs/>
          <w:sz w:val="24"/>
          <w:szCs w:val="32"/>
          <w:lang w:val="en-US" w:eastAsia="zh-CN"/>
        </w:rPr>
        <w:t>案例概述</w:t>
      </w:r>
    </w:p>
    <w:p w14:paraId="578D4350">
      <w:pPr>
        <w:keepNext w:val="0"/>
        <w:keepLines w:val="0"/>
        <w:pageBreakBefore w:val="0"/>
        <w:widowControl w:val="0"/>
        <w:kinsoku/>
        <w:wordWrap/>
        <w:overflowPunct/>
        <w:topLinePunct w:val="0"/>
        <w:autoSpaceDE/>
        <w:autoSpaceDN/>
        <w:bidi w:val="0"/>
        <w:adjustRightInd/>
        <w:snapToGrid/>
        <w:ind w:firstLine="482" w:firstLineChars="200"/>
        <w:jc w:val="left"/>
        <w:textAlignment w:val="auto"/>
        <w:rPr>
          <w:rFonts w:hint="default" w:ascii="宋体" w:hAnsi="宋体" w:eastAsia="宋体" w:cs="宋体"/>
          <w:sz w:val="24"/>
          <w:szCs w:val="32"/>
          <w:lang w:val="en-US" w:eastAsia="zh-CN"/>
        </w:rPr>
      </w:pPr>
      <w:r>
        <w:rPr>
          <w:rFonts w:hint="default" w:ascii="宋体" w:hAnsi="宋体" w:eastAsia="宋体" w:cs="宋体"/>
          <w:b/>
          <w:bCs/>
          <w:sz w:val="24"/>
          <w:szCs w:val="32"/>
          <w:lang w:val="en-US" w:eastAsia="zh-CN"/>
        </w:rPr>
        <w:t>背景</w:t>
      </w:r>
      <w:r>
        <w:rPr>
          <w:rFonts w:hint="default" w:ascii="宋体" w:hAnsi="宋体" w:eastAsia="宋体" w:cs="宋体"/>
          <w:sz w:val="24"/>
          <w:szCs w:val="32"/>
          <w:lang w:val="en-US" w:eastAsia="zh-CN"/>
        </w:rPr>
        <w:t>：人民银行武汉分行联合有关部门在全省推动供应链金融创新，人民银行黄石市中心支行根据上达电子及上下游企业的情况，开展供应链金融试点。</w:t>
      </w:r>
    </w:p>
    <w:p w14:paraId="2D27A6A7">
      <w:pPr>
        <w:keepNext w:val="0"/>
        <w:keepLines w:val="0"/>
        <w:pageBreakBefore w:val="0"/>
        <w:widowControl w:val="0"/>
        <w:kinsoku/>
        <w:wordWrap/>
        <w:overflowPunct/>
        <w:topLinePunct w:val="0"/>
        <w:autoSpaceDE/>
        <w:autoSpaceDN/>
        <w:bidi w:val="0"/>
        <w:adjustRightInd/>
        <w:snapToGrid/>
        <w:ind w:firstLine="482" w:firstLineChars="200"/>
        <w:jc w:val="left"/>
        <w:textAlignment w:val="auto"/>
        <w:rPr>
          <w:rFonts w:hint="default" w:ascii="宋体" w:hAnsi="宋体" w:eastAsia="宋体" w:cs="宋体"/>
          <w:sz w:val="24"/>
          <w:szCs w:val="32"/>
          <w:lang w:val="en-US" w:eastAsia="zh-CN"/>
        </w:rPr>
      </w:pPr>
      <w:r>
        <w:rPr>
          <w:rFonts w:hint="default" w:ascii="宋体" w:hAnsi="宋体" w:eastAsia="宋体" w:cs="宋体"/>
          <w:b/>
          <w:bCs/>
          <w:sz w:val="24"/>
          <w:szCs w:val="32"/>
          <w:lang w:val="en-US" w:eastAsia="zh-CN"/>
        </w:rPr>
        <w:t>举措</w:t>
      </w:r>
      <w:r>
        <w:rPr>
          <w:rFonts w:hint="default" w:ascii="宋体" w:hAnsi="宋体" w:eastAsia="宋体" w:cs="宋体"/>
          <w:sz w:val="24"/>
          <w:szCs w:val="32"/>
          <w:lang w:val="en-US" w:eastAsia="zh-CN"/>
        </w:rPr>
        <w:t>：建设银行运用“E信通”产品，为上达电子的上游供应商提供全流程网上操作的融资业务，小微供应商凭核心企业的《付款承诺函》获得融资。招商银行黄石分行依据上达电子对下游企业的应收账款，为其提供授信，并下调融资利率。</w:t>
      </w:r>
    </w:p>
    <w:p w14:paraId="51177CE1">
      <w:pPr>
        <w:keepNext w:val="0"/>
        <w:keepLines w:val="0"/>
        <w:pageBreakBefore w:val="0"/>
        <w:widowControl w:val="0"/>
        <w:kinsoku/>
        <w:wordWrap/>
        <w:overflowPunct/>
        <w:topLinePunct w:val="0"/>
        <w:autoSpaceDE/>
        <w:autoSpaceDN/>
        <w:bidi w:val="0"/>
        <w:adjustRightInd/>
        <w:snapToGrid/>
        <w:ind w:firstLine="482" w:firstLineChars="200"/>
        <w:jc w:val="left"/>
        <w:textAlignment w:val="auto"/>
        <w:rPr>
          <w:rFonts w:hint="default" w:ascii="宋体" w:hAnsi="宋体" w:eastAsia="宋体" w:cs="宋体"/>
          <w:sz w:val="24"/>
          <w:szCs w:val="32"/>
          <w:lang w:val="en-US" w:eastAsia="zh-CN"/>
        </w:rPr>
      </w:pPr>
      <w:r>
        <w:rPr>
          <w:rFonts w:hint="default" w:ascii="宋体" w:hAnsi="宋体" w:eastAsia="宋体" w:cs="宋体"/>
          <w:b/>
          <w:bCs/>
          <w:sz w:val="24"/>
          <w:szCs w:val="32"/>
          <w:lang w:val="en-US" w:eastAsia="zh-CN"/>
        </w:rPr>
        <w:t>成效</w:t>
      </w:r>
      <w:r>
        <w:rPr>
          <w:rFonts w:hint="default" w:ascii="宋体" w:hAnsi="宋体" w:eastAsia="宋体" w:cs="宋体"/>
          <w:sz w:val="24"/>
          <w:szCs w:val="32"/>
          <w:lang w:val="en-US" w:eastAsia="zh-CN"/>
        </w:rPr>
        <w:t>：上达电子作为核心企业帮助38家上游小微企业获得融资82笔、1.77亿元，平均融资成本仅3.7％。同时，上达电子自身资金需求得到满足，合作银行机构增加，采购成本降低5个百分点。</w:t>
      </w:r>
    </w:p>
    <w:p w14:paraId="31005A9D">
      <w:pPr>
        <w:keepNext w:val="0"/>
        <w:keepLines w:val="0"/>
        <w:pageBreakBefore w:val="0"/>
        <w:widowControl w:val="0"/>
        <w:kinsoku/>
        <w:wordWrap/>
        <w:overflowPunct/>
        <w:topLinePunct w:val="0"/>
        <w:autoSpaceDE/>
        <w:autoSpaceDN/>
        <w:bidi w:val="0"/>
        <w:adjustRightInd/>
        <w:snapToGrid/>
        <w:jc w:val="left"/>
        <w:textAlignment w:val="auto"/>
        <w:rPr>
          <w:rFonts w:hint="default" w:ascii="宋体" w:hAnsi="宋体" w:eastAsia="宋体" w:cs="宋体"/>
          <w:sz w:val="24"/>
          <w:szCs w:val="32"/>
          <w:lang w:val="en-US" w:eastAsia="zh-CN"/>
        </w:rPr>
      </w:pPr>
      <w:r>
        <w:rPr>
          <w:rFonts w:hint="eastAsia" w:ascii="宋体" w:hAnsi="宋体" w:eastAsia="宋体" w:cs="宋体"/>
          <w:sz w:val="24"/>
          <w:szCs w:val="32"/>
          <w:lang w:val="en-US" w:eastAsia="zh-CN"/>
        </w:rPr>
        <w:t>读书报告：</w:t>
      </w:r>
      <w:bookmarkStart w:id="0" w:name="_GoBack"/>
      <w:bookmarkEnd w:id="0"/>
    </w:p>
    <w:p w14:paraId="2AC07801">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hint="eastAsia" w:ascii="宋体" w:hAnsi="宋体" w:eastAsia="宋体" w:cs="宋体"/>
          <w:b/>
          <w:bCs/>
          <w:sz w:val="24"/>
          <w:szCs w:val="24"/>
        </w:rPr>
      </w:pPr>
      <w:r>
        <w:rPr>
          <w:rFonts w:hint="eastAsia" w:ascii="宋体" w:hAnsi="宋体" w:eastAsia="宋体" w:cs="宋体"/>
          <w:b/>
          <w:bCs/>
          <w:sz w:val="24"/>
          <w:szCs w:val="32"/>
          <w:lang w:val="en-US" w:eastAsia="zh-CN"/>
        </w:rPr>
        <w:t>一、</w:t>
      </w:r>
      <w:r>
        <w:rPr>
          <w:rFonts w:hint="eastAsia" w:ascii="宋体" w:hAnsi="宋体" w:eastAsia="宋体" w:cs="宋体"/>
          <w:b/>
          <w:bCs/>
          <w:sz w:val="24"/>
          <w:szCs w:val="32"/>
        </w:rPr>
        <w:t>困境与破局：核心企业信用破解融资高墙</w:t>
      </w:r>
    </w:p>
    <w:p w14:paraId="641A1B07">
      <w:pPr>
        <w:keepNext w:val="0"/>
        <w:keepLines w:val="0"/>
        <w:pageBreakBefore w:val="0"/>
        <w:widowControl w:val="0"/>
        <w:kinsoku/>
        <w:wordWrap/>
        <w:overflowPunct/>
        <w:topLinePunct w:val="0"/>
        <w:autoSpaceDE/>
        <w:autoSpaceDN/>
        <w:bidi w:val="0"/>
        <w:adjustRightInd/>
        <w:snapToGrid/>
        <w:spacing w:after="157" w:afterLines="50"/>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当我看到</w:t>
      </w:r>
      <w:r>
        <w:rPr>
          <w:rFonts w:hint="eastAsia" w:ascii="宋体" w:hAnsi="宋体" w:eastAsia="宋体" w:cs="宋体"/>
          <w:sz w:val="24"/>
          <w:szCs w:val="32"/>
        </w:rPr>
        <w:t>“中小企业融资难”这</w:t>
      </w:r>
      <w:r>
        <w:rPr>
          <w:rFonts w:hint="eastAsia" w:ascii="宋体" w:hAnsi="宋体" w:eastAsia="宋体" w:cs="宋体"/>
          <w:sz w:val="24"/>
          <w:szCs w:val="32"/>
          <w:lang w:val="en-US" w:eastAsia="zh-CN"/>
        </w:rPr>
        <w:t>句话，我不禁思考</w:t>
      </w:r>
      <w:r>
        <w:rPr>
          <w:rFonts w:hint="eastAsia" w:ascii="宋体" w:hAnsi="宋体" w:eastAsia="宋体" w:cs="宋体"/>
          <w:sz w:val="24"/>
          <w:szCs w:val="32"/>
        </w:rPr>
        <w:t>。那些描述“</w:t>
      </w:r>
      <w:r>
        <w:rPr>
          <w:rFonts w:hint="eastAsia" w:ascii="宋体" w:hAnsi="宋体" w:eastAsia="宋体" w:cs="宋体"/>
          <w:b/>
          <w:bCs/>
          <w:sz w:val="24"/>
          <w:szCs w:val="32"/>
        </w:rPr>
        <w:t>融资贵、融资慢</w:t>
      </w:r>
      <w:r>
        <w:rPr>
          <w:rFonts w:hint="eastAsia" w:ascii="宋体" w:hAnsi="宋体" w:eastAsia="宋体" w:cs="宋体"/>
          <w:sz w:val="24"/>
          <w:szCs w:val="32"/>
        </w:rPr>
        <w:t>”的文字，在现实中究竟如何被突破？偶然间翻阅</w:t>
      </w:r>
      <w:r>
        <w:rPr>
          <w:rFonts w:hint="eastAsia" w:ascii="宋体" w:hAnsi="宋体" w:eastAsia="宋体" w:cs="宋体"/>
          <w:sz w:val="24"/>
          <w:szCs w:val="32"/>
          <w:lang w:val="en-US" w:eastAsia="zh-CN"/>
        </w:rPr>
        <w:t>到</w:t>
      </w:r>
      <w:r>
        <w:rPr>
          <w:rFonts w:hint="eastAsia" w:ascii="宋体" w:hAnsi="宋体" w:eastAsia="宋体" w:cs="宋体"/>
          <w:sz w:val="24"/>
          <w:szCs w:val="32"/>
        </w:rPr>
        <w:t>一份地方金融研究资料，人民银行武汉分行联合多部门推动供应链金融创新、黄石市中心支行主导的上达电子供应链金融试点案例映入眼帘。一纸核心企业的《付款承诺函》竟能撬动上达电子上游38家小微企业获得1.77亿元融资，平均成本低至3.7%。数字背后蕴含的机制让我心头一震：书本上的“供应链金融”概念，在真实的经济肌理中，究竟是怎样一种充满张力的存在？</w:t>
      </w:r>
    </w:p>
    <w:p w14:paraId="2FF85EE6">
      <w:pPr>
        <w:keepNext w:val="0"/>
        <w:keepLines w:val="0"/>
        <w:pageBreakBefore w:val="0"/>
        <w:widowControl w:val="0"/>
        <w:kinsoku/>
        <w:wordWrap/>
        <w:overflowPunct/>
        <w:topLinePunct w:val="0"/>
        <w:autoSpaceDE/>
        <w:autoSpaceDN/>
        <w:bidi w:val="0"/>
        <w:adjustRightInd/>
        <w:snapToGrid/>
        <w:spacing w:after="157" w:afterLines="50"/>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传统融资模式如一座冰冷高墙，中小企业往往困于墙外。教科书反复强调，信息不对称是症结所在——银行难以穿透评估中小企业的真实经营与偿债能力，风险溢价自然高企。而上达电子的上游供应商们，多为典型小微企业，若孤身求贷，无疑将陷入教科书所言的困境。人民银行武汉分行及黄石中支的试点，其战略意图正基于此：以核心企业上达电子为锚点，尝试构建一条崭新的信用通道，让金融活水得以沿着产业血脉定向滋养上游的“毛细血管”。</w:t>
      </w:r>
    </w:p>
    <w:p w14:paraId="5B6C5FA4">
      <w:pPr>
        <w:keepNext w:val="0"/>
        <w:keepLines w:val="0"/>
        <w:pageBreakBefore w:val="0"/>
        <w:widowControl w:val="0"/>
        <w:kinsoku/>
        <w:wordWrap/>
        <w:overflowPunct/>
        <w:topLinePunct w:val="0"/>
        <w:autoSpaceDE/>
        <w:autoSpaceDN/>
        <w:bidi w:val="0"/>
        <w:adjustRightInd/>
        <w:snapToGrid/>
        <w:spacing w:after="157" w:afterLines="50"/>
        <w:jc w:val="left"/>
        <w:textAlignment w:val="auto"/>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t>二、机制与成效：信用流转激活产业共生</w:t>
      </w:r>
    </w:p>
    <w:p w14:paraId="211C1441">
      <w:pPr>
        <w:keepNext w:val="0"/>
        <w:keepLines w:val="0"/>
        <w:pageBreakBefore w:val="0"/>
        <w:widowControl w:val="0"/>
        <w:kinsoku/>
        <w:wordWrap/>
        <w:overflowPunct/>
        <w:topLinePunct w:val="0"/>
        <w:autoSpaceDE/>
        <w:autoSpaceDN/>
        <w:bidi w:val="0"/>
        <w:adjustRightInd/>
        <w:snapToGrid/>
        <w:spacing w:after="157" w:afterLines="50"/>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试点中建设银行与招商银行的举措，宛如为理论注入了鲜活的生命力。建行</w:t>
      </w:r>
      <w:r>
        <w:rPr>
          <w:rFonts w:hint="eastAsia" w:ascii="宋体" w:hAnsi="宋体" w:eastAsia="宋体" w:cs="宋体"/>
          <w:b/>
          <w:bCs/>
          <w:sz w:val="24"/>
          <w:szCs w:val="32"/>
        </w:rPr>
        <w:t>“E信通”</w:t>
      </w:r>
      <w:r>
        <w:rPr>
          <w:rFonts w:hint="eastAsia" w:ascii="宋体" w:hAnsi="宋体" w:eastAsia="宋体" w:cs="宋体"/>
          <w:sz w:val="24"/>
          <w:szCs w:val="32"/>
        </w:rPr>
        <w:t>产品，其精髓在于核心企业信用的数字化流转与拆分。上达电子开具的《付款承诺函》，不再仅是一纸契约，更成为小微企业可即时兑换的“信用货币”。供应商不再依赖自身抵押或漫长审批，仅凭核心企业对其未来应收账款的确认，即可在线完成融资申请。这精准实践了供应链金融的核心原理：将核心企业的优质信用，通过真实的贸易背景，向其上游供应商有效传递与共享，从而大幅降低信息壁垒与交易成本。招商银行黄石分行依据上达电子对下游的应收账款提供授信并下调利率，则展现了另一种思路——盘活沉淀在供应链下游的债权资产。上达电子以未来确定能收到的货款作为“抵押”，提前获得银行资金支持，优化了自身现金流。这既是应收账款融资模式的经典应用，也通过利率优惠体现了核心企业在整个链条中的议价优势与银行对其整体风险管控的信心。</w:t>
      </w:r>
    </w:p>
    <w:p w14:paraId="72A38163">
      <w:pPr>
        <w:keepNext w:val="0"/>
        <w:keepLines w:val="0"/>
        <w:pageBreakBefore w:val="0"/>
        <w:widowControl w:val="0"/>
        <w:kinsoku/>
        <w:wordWrap/>
        <w:overflowPunct/>
        <w:topLinePunct w:val="0"/>
        <w:autoSpaceDE/>
        <w:autoSpaceDN/>
        <w:bidi w:val="0"/>
        <w:adjustRightInd/>
        <w:snapToGrid/>
        <w:spacing w:after="157" w:afterLines="50"/>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当冰冷的理论照进鲜活的现实，数据本身便成了最有力的注脚。 38家上游小微企业获得82笔、总额1.77亿元融资，平均成本仅3.7%——这不仅远低于小微企业在传统模式下的融资成本（通常8%-15%甚至更高），其规模与频次更揭示了需求的迫切与模式的普适性。上达电子自身亦非单纯的“付出者”：其资金需求得到满足，合作银行增加，更关键的是采购成本降低了5个百分点。这5%的降本绝非孤立数字。上游供应商获得低成本融资后，资金压力骤减，向上达电子供货时，便无需将高昂的融资成本转嫁进原材料价格中，甚至因资金充裕可能提供更优惠的付款条件。这生动诠释了供应链金融所追求的“共赢共生”——核心企业以自身信用赋能上下游，最终回流的价值反哺了自身竞争力的提升。</w:t>
      </w:r>
    </w:p>
    <w:p w14:paraId="4BB33A92">
      <w:pPr>
        <w:keepNext w:val="0"/>
        <w:keepLines w:val="0"/>
        <w:pageBreakBefore w:val="0"/>
        <w:widowControl w:val="0"/>
        <w:kinsoku/>
        <w:wordWrap/>
        <w:overflowPunct/>
        <w:topLinePunct w:val="0"/>
        <w:autoSpaceDE/>
        <w:autoSpaceDN/>
        <w:bidi w:val="0"/>
        <w:adjustRightInd/>
        <w:snapToGrid/>
        <w:spacing w:before="157" w:beforeLines="50" w:after="157" w:afterLines="50"/>
        <w:textAlignment w:val="auto"/>
        <w:rPr>
          <w:rFonts w:hint="eastAsia" w:ascii="宋体" w:hAnsi="宋体" w:eastAsia="宋体" w:cs="宋体"/>
          <w:b/>
          <w:bCs/>
          <w:sz w:val="24"/>
          <w:szCs w:val="32"/>
        </w:rPr>
      </w:pPr>
      <w:r>
        <w:rPr>
          <w:rFonts w:hint="eastAsia" w:ascii="宋体" w:hAnsi="宋体" w:eastAsia="宋体" w:cs="宋体"/>
          <w:b/>
          <w:bCs/>
          <w:sz w:val="24"/>
          <w:szCs w:val="32"/>
          <w:lang w:val="en-US" w:eastAsia="zh-CN"/>
        </w:rPr>
        <w:t>三、启示与叩问：信用之桥的光明与边界</w:t>
      </w:r>
    </w:p>
    <w:p w14:paraId="51CC4AB5">
      <w:pPr>
        <w:keepNext w:val="0"/>
        <w:keepLines w:val="0"/>
        <w:pageBreakBefore w:val="0"/>
        <w:widowControl w:val="0"/>
        <w:kinsoku/>
        <w:wordWrap/>
        <w:overflowPunct/>
        <w:topLinePunct w:val="0"/>
        <w:autoSpaceDE/>
        <w:autoSpaceDN/>
        <w:bidi w:val="0"/>
        <w:adjustRightInd/>
        <w:snapToGrid/>
        <w:spacing w:after="157" w:afterLines="50"/>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掩卷沉思，上达电子案例如一把钥匙，开启了对供应链金融更深的叩问：信用流转的边界究竟何在？ 其成功高度依赖核心企业的实力与信誉。上达电子作为优质核心企业，其“承诺函”在银行眼中价值千金。然而，那些身处产业链中游、自身规模与信用尚不突出的“准核心”企业，其信用是否足以撬动同样的金融资源</w:t>
      </w:r>
      <w:r>
        <w:rPr>
          <w:rFonts w:hint="eastAsia" w:ascii="宋体" w:hAnsi="宋体" w:eastAsia="宋体" w:cs="宋体"/>
          <w:sz w:val="24"/>
          <w:szCs w:val="32"/>
          <w:lang w:eastAsia="zh-CN"/>
        </w:rPr>
        <w:t>，</w:t>
      </w:r>
      <w:r>
        <w:rPr>
          <w:rFonts w:hint="eastAsia" w:ascii="宋体" w:hAnsi="宋体" w:eastAsia="宋体" w:cs="宋体"/>
          <w:sz w:val="24"/>
          <w:szCs w:val="32"/>
        </w:rPr>
        <w:t>银行的风险评估模型能否适应更为复杂的产业链图谱</w:t>
      </w:r>
      <w:r>
        <w:rPr>
          <w:rFonts w:hint="eastAsia" w:ascii="宋体" w:hAnsi="宋体" w:eastAsia="宋体" w:cs="宋体"/>
          <w:sz w:val="24"/>
          <w:szCs w:val="32"/>
          <w:lang w:eastAsia="zh-CN"/>
        </w:rPr>
        <w:t>。</w:t>
      </w:r>
      <w:r>
        <w:rPr>
          <w:rFonts w:hint="eastAsia" w:ascii="宋体" w:hAnsi="宋体" w:eastAsia="宋体" w:cs="宋体"/>
          <w:sz w:val="24"/>
          <w:szCs w:val="32"/>
        </w:rPr>
        <w:t>此外，全流程线上化虽带来便捷，但高度依赖供应链信息的透明与数字化。若链条中某些环节信息化程度低、交易数据难以验证，这种模式的推广是否会受阻？这提示我们，供应链金融的深化，不仅需要核心企业，更需要整条产业链数字化基础的夯实与信息共享机制的完善。</w:t>
      </w:r>
    </w:p>
    <w:p w14:paraId="4E8C32CB">
      <w:pPr>
        <w:keepNext w:val="0"/>
        <w:keepLines w:val="0"/>
        <w:pageBreakBefore w:val="0"/>
        <w:widowControl w:val="0"/>
        <w:kinsoku/>
        <w:wordWrap/>
        <w:overflowPunct/>
        <w:topLinePunct w:val="0"/>
        <w:autoSpaceDE/>
        <w:autoSpaceDN/>
        <w:bidi w:val="0"/>
        <w:adjustRightInd/>
        <w:snapToGrid/>
        <w:spacing w:after="157" w:afterLines="50"/>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上达电子的实践也促使我重新审视金融创新的本质。它并非仅仅是炫目的技术或复杂的衍生品，其最深刻的驱动力，在于对真实经济活动中痛点的精准洞察与创造性解决。将核心企业闲置的信用转化为小微企业的融资工具，将静态的应收账款盘活为流动的资本，这体现了金融最朴素的智慧——优化资源配置。这启示我们，任何有价值的金融创新，其根基必须深植于服务实体经济、疏通经济血脉之中。</w:t>
      </w:r>
    </w:p>
    <w:p w14:paraId="783DACDB">
      <w:pPr>
        <w:keepNext w:val="0"/>
        <w:keepLines w:val="0"/>
        <w:pageBreakBefore w:val="0"/>
        <w:widowControl w:val="0"/>
        <w:kinsoku/>
        <w:wordWrap/>
        <w:overflowPunct/>
        <w:topLinePunct w:val="0"/>
        <w:autoSpaceDE/>
        <w:autoSpaceDN/>
        <w:bidi w:val="0"/>
        <w:adjustRightInd/>
        <w:snapToGrid/>
        <w:spacing w:after="157" w:afterLines="50"/>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从书本上“中小企业融资难”的抽象描述，到上达电子案例中38家小微企业实实在在获得1.77亿低息融资的生动图景，供应链金融在我心中完成了从概念到血肉的蜕变。这一纸核心企业的《付款承诺函》，其力量远超纸张本身，它是一座精心构建的信用之桥，连接起核心企业的稳固基石与小微企业的生存发展，让金融的血液得以在产业链的末梢循环奔涌。它深刻揭示：在紧密相连的产业生态中，信用的价值不仅能被评估，更能被传递、被共享、被放大。</w:t>
      </w:r>
    </w:p>
    <w:p w14:paraId="04E7E579">
      <w:pPr>
        <w:keepNext w:val="0"/>
        <w:keepLines w:val="0"/>
        <w:pageBreakBefore w:val="0"/>
        <w:widowControl w:val="0"/>
        <w:kinsoku/>
        <w:wordWrap/>
        <w:overflowPunct/>
        <w:topLinePunct w:val="0"/>
        <w:autoSpaceDE/>
        <w:autoSpaceDN/>
        <w:bidi w:val="0"/>
        <w:adjustRightInd/>
        <w:snapToGrid/>
        <w:spacing w:after="157" w:afterLines="50"/>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上达电子试点的光芒，也映照出前路的挑战：如何让更多非巨头企业成为可信的信用“灯塔”？如何在数据烟囱林立的现实中，打通信息共享的经脉？这些问号悬在理论之墙的尽头，指向未来实践探索的方向。或许，金融创新的真正高度，就在于它既能照亮如小微供应商这般最需要光的地方，又能让整条供应链在协同共生中焕发出超越个体之和的澎湃生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182E1A"/>
    <w:rsid w:val="43D03A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2328</Words>
  <Characters>2360</Characters>
  <Lines>0</Lines>
  <Paragraphs>0</Paragraphs>
  <TotalTime>33</TotalTime>
  <ScaleCrop>false</ScaleCrop>
  <LinksUpToDate>false</LinksUpToDate>
  <CharactersWithSpaces>2376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2025-06-12T11:05:00Z</dcterms:created>
  <dc:creator>27495</dc:creator>
  <cp:lastModifiedBy>兔叽এ.</cp:lastModifiedBy>
  <dcterms:modified xsi:type="dcterms:W3CDTF">2025-06-12T12:48:46Z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eyJoZGlkIjoiMjBmYjIyNzc1NWQ0MjFhYjJmM2JiNGIxNjgxZmQ2NjciLCJ1c2VySWQiOiI2NDgyMDQ1NDUifQ==</vt:lpwstr>
  </property>
  <property fmtid="{D5CDD505-2E9C-101B-9397-08002B2CF9AE}" pid="4" name="ICV">
    <vt:lpwstr>D7BA4EEFD32F4671AA788629ACC797FB_12</vt:lpwstr>
  </property>
</Properties>
</file>