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DCC24" w14:textId="46BEB58C" w:rsidR="003F0D04" w:rsidRPr="003F0D04" w:rsidRDefault="003F0D04" w:rsidP="003F0D04">
      <w:pPr>
        <w:jc w:val="center"/>
        <w:rPr>
          <w:rFonts w:ascii="宋体" w:eastAsia="宋体" w:hAnsi="宋体" w:hint="eastAsia"/>
          <w:sz w:val="28"/>
          <w:szCs w:val="28"/>
        </w:rPr>
      </w:pPr>
      <w:r w:rsidRPr="003F0D04">
        <w:rPr>
          <w:rFonts w:ascii="宋体" w:eastAsia="宋体" w:hAnsi="宋体" w:hint="eastAsia"/>
          <w:sz w:val="28"/>
          <w:szCs w:val="28"/>
        </w:rPr>
        <w:t>数字赋能供应链金融，链动光伏产业绿色升级——基于杭州银行南京分行案例的读书报告</w:t>
      </w:r>
    </w:p>
    <w:p w14:paraId="729D8B51" w14:textId="77777777" w:rsidR="003F0D04" w:rsidRPr="003F0D04" w:rsidRDefault="003F0D04" w:rsidP="003F0D04">
      <w:pPr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一、案例概述</w:t>
      </w:r>
    </w:p>
    <w:p w14:paraId="36D446F0" w14:textId="0B933EE3" w:rsidR="003F0D04" w:rsidRPr="003F0D04" w:rsidRDefault="003F0D04" w:rsidP="003F0D0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在“双碳”目标引领下，光伏产业作为绿色能源发展的关键领域，迎来了高速发展期。然而，产业供应链中的诸多问题也逐渐凸显。以国内光伏智慧能源解决方案领军企业THGN为例，其供应链网络虽遍布全国，但因子公司分散，面临着巨大的支付压力，上游供应商融资也困难重重，导致“链强却不通”，严重制约了产业的高效运转。杭州银行南京分行敏锐洞察到这一痛点，充分发挥“数智杭银”的科技优势，创新性地推出“云e信子公司额度切分+不开户跨行放款”模式。在此模式下，THGN集团总部获批的授信额度如同“数字树”，各子公司可在线灵活切分额度，向上游供应商签发电子债权凭证。供应商无需繁琐的开户流程，线上签收凭证后，即可根据自身需求选择持有、转让或融资。杭州银行南京分行以中小企业优惠利率为供应商提供即时融资支持，实现“T+0”放款，极大地提升了融资效率。2024年11月业务落地首日，就成功发放9笔融资，一个月内17笔近亿元资金精准流向10家子公司及4家上游供应商，有效缓解了企业资金周转难题。同时，该分行通过“总-分-支”三级联动机制与专业服务小组协同合作，从授信审批到系统对接，从平台注册到业务落地，构建了一套敏捷的响应体系，加强了金融与产业的紧密对话。并且，借助“核心企业-子公司-供应商”的信用传导链条，将金融服务延伸至产业链末梢，助力小微供应商共享发展机遇。此外，全流程线上化操作减少了纸质单据，智能系统替代人工审单，降低了碳足迹，为光伏产业的绿色发展增添动力。</w:t>
      </w:r>
    </w:p>
    <w:p w14:paraId="5A808ABB" w14:textId="77777777" w:rsidR="003F0D04" w:rsidRDefault="003F0D04" w:rsidP="003F0D04">
      <w:pPr>
        <w:rPr>
          <w:rFonts w:ascii="宋体" w:eastAsia="宋体" w:hAnsi="宋体"/>
          <w:sz w:val="24"/>
          <w:szCs w:val="24"/>
        </w:rPr>
      </w:pPr>
    </w:p>
    <w:p w14:paraId="08B24806" w14:textId="62C92AEC" w:rsidR="003F0D04" w:rsidRPr="003F0D04" w:rsidRDefault="003F0D04" w:rsidP="003F0D04">
      <w:pPr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二、核心</w:t>
      </w:r>
      <w:r>
        <w:rPr>
          <w:rFonts w:ascii="宋体" w:eastAsia="宋体" w:hAnsi="宋体" w:hint="eastAsia"/>
          <w:sz w:val="24"/>
          <w:szCs w:val="24"/>
        </w:rPr>
        <w:t>思路</w:t>
      </w:r>
    </w:p>
    <w:p w14:paraId="3A81B1B2" w14:textId="79D231F4" w:rsidR="003F0D04" w:rsidRPr="003F0D04" w:rsidRDefault="003F0D04" w:rsidP="003F0D04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3F0D04">
        <w:rPr>
          <w:rFonts w:ascii="宋体" w:eastAsia="宋体" w:hAnsi="宋体" w:hint="eastAsia"/>
          <w:sz w:val="24"/>
          <w:szCs w:val="24"/>
        </w:rPr>
        <w:t>数字技术驱动供应链金融创新</w:t>
      </w:r>
    </w:p>
    <w:p w14:paraId="1C8AD741" w14:textId="5BEFB296" w:rsidR="003F0D04" w:rsidRPr="003F0D04" w:rsidRDefault="003F0D04" w:rsidP="003F0D0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杭州银行南京分行利用数字技术，对传统供应链金融模式进行深度变革。通过构建线上化的电子债权凭证流转与融资平台，打破了地域限制和传统业务流程的繁琐性。这不仅解决了核心企业子公司与供应商之间的资金融通问题，还通过创新的额度切分与放款模式，提升了资金配置效率，通过数字化手段整合信息流、资金流和物流，构建更加高效、透明的供应链金融服务体系。</w:t>
      </w:r>
    </w:p>
    <w:p w14:paraId="15708712" w14:textId="15924C23" w:rsidR="003F0D04" w:rsidRPr="003F0D04" w:rsidRDefault="003F0D04" w:rsidP="003F0D04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3F0D04">
        <w:rPr>
          <w:rFonts w:ascii="宋体" w:eastAsia="宋体" w:hAnsi="宋体" w:hint="eastAsia"/>
          <w:sz w:val="24"/>
          <w:szCs w:val="24"/>
        </w:rPr>
        <w:t>绿色金融与产业发展深度融合</w:t>
      </w:r>
    </w:p>
    <w:p w14:paraId="18FA88B2" w14:textId="6325BBF0" w:rsidR="003F0D04" w:rsidRPr="003F0D04" w:rsidRDefault="003F0D04" w:rsidP="003F0D0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在“双碳”目标背景下，该分行将绿色金融理念贯穿于供应</w:t>
      </w:r>
      <w:r w:rsidRPr="003F0D04">
        <w:rPr>
          <w:rFonts w:ascii="宋体" w:eastAsia="宋体" w:hAnsi="宋体" w:hint="eastAsia"/>
          <w:sz w:val="24"/>
          <w:szCs w:val="24"/>
        </w:rPr>
        <w:lastRenderedPageBreak/>
        <w:t>链金融服务中。一方面，通过支持光伏产业这一绿色能源产业，推动了产业的发展壮大；另一方面，借助金融服务流程的绿色化（如减少纸质单据、优化操作流程降低碳足迹），实现了金融与产业在绿色发展层面的协同共进。这表明绿色金融不仅是对绿色产业的资金支持，更是在业务操作的各个环节融入环保理念，促进产业的可持续发展。</w:t>
      </w:r>
    </w:p>
    <w:p w14:paraId="5E5ACF42" w14:textId="58CEFD72" w:rsidR="003F0D04" w:rsidRPr="003F0D04" w:rsidRDefault="003F0D04" w:rsidP="003F0D04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Pr="003F0D04">
        <w:rPr>
          <w:rFonts w:ascii="宋体" w:eastAsia="宋体" w:hAnsi="宋体" w:hint="eastAsia"/>
          <w:sz w:val="24"/>
          <w:szCs w:val="24"/>
        </w:rPr>
        <w:t>供应链金融助力产业链协同发展</w:t>
      </w:r>
    </w:p>
    <w:p w14:paraId="5CCDF276" w14:textId="77777777" w:rsidR="003F0D04" w:rsidRPr="003F0D04" w:rsidRDefault="003F0D04" w:rsidP="003F0D0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从核心企业到子公司再到供应商，杭州银行南京分行构建的信用传导链条，实现了产业链上各环节企业的协同发展。核心企业的优质信用得以穿透流转至上下游中小企业，解决了中小企业融资难、融资贵的问题，增强了产业链的整体稳定性和竞争力。这体现了供应链金融在优化产业链资源配置、提升产业链协同效率方面的重要价值，即通过金融手段将产业链上的企业紧密连接，形成利益共享、风险共担的共同体。</w:t>
      </w:r>
    </w:p>
    <w:p w14:paraId="390DD5A0" w14:textId="77777777" w:rsidR="003F0D04" w:rsidRDefault="003F0D04" w:rsidP="003F0D04">
      <w:pPr>
        <w:rPr>
          <w:rFonts w:ascii="宋体" w:eastAsia="宋体" w:hAnsi="宋体"/>
          <w:sz w:val="24"/>
          <w:szCs w:val="24"/>
        </w:rPr>
      </w:pPr>
    </w:p>
    <w:p w14:paraId="63DB90C0" w14:textId="37FB2F8A" w:rsidR="003F0D04" w:rsidRPr="003F0D04" w:rsidRDefault="003F0D04" w:rsidP="003F0D04">
      <w:pPr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三、</w:t>
      </w:r>
      <w:r>
        <w:rPr>
          <w:rFonts w:ascii="宋体" w:eastAsia="宋体" w:hAnsi="宋体" w:hint="eastAsia"/>
          <w:sz w:val="24"/>
          <w:szCs w:val="24"/>
        </w:rPr>
        <w:t>启发与思考</w:t>
      </w:r>
    </w:p>
    <w:p w14:paraId="4EEFFE4D" w14:textId="50AE44A7" w:rsidR="00C1670A" w:rsidRPr="003F0D04" w:rsidRDefault="003F0D04" w:rsidP="003F0D04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3F0D04">
        <w:rPr>
          <w:rFonts w:ascii="宋体" w:eastAsia="宋体" w:hAnsi="宋体" w:hint="eastAsia"/>
          <w:sz w:val="24"/>
          <w:szCs w:val="24"/>
        </w:rPr>
        <w:t>金融机构应进一步加强大数据、人工智能等技术的应用，深度整合供应链上各环节的数据，包括交易数据、物流数据、企业财务数据等。通过对这些数据的分析，更精准地评估企业信用风险，合理确定融资额度和期限</w:t>
      </w:r>
      <w:r>
        <w:rPr>
          <w:rFonts w:ascii="宋体" w:eastAsia="宋体" w:hAnsi="宋体" w:hint="eastAsia"/>
          <w:sz w:val="24"/>
          <w:szCs w:val="24"/>
        </w:rPr>
        <w:t>。</w:t>
      </w:r>
      <w:r w:rsidRPr="003F0D04">
        <w:rPr>
          <w:rFonts w:ascii="宋体" w:eastAsia="宋体" w:hAnsi="宋体" w:hint="eastAsia"/>
          <w:sz w:val="24"/>
          <w:szCs w:val="24"/>
        </w:rPr>
        <w:t>持续完善线上供应链金融平台功能，不仅实现融资申请、审批、放款等基础业务的线上化，还要拓展如电子合同签订、单据验证、风险预警等功能。除了传统的绿色信贷，还可探索绿色债券、绿色基金、碳金融等产品在光伏等产业的应用。例如，发行专项绿色债券为大型光伏电站建设项目融资；开展碳配额质押贷款，激励企业节能减排。以核心企业为依托，联合金融科技公司、物流企业、第三方担保机构等，构建供应链金融生态系统。各参与方通过共享信息、协同作业，共同解决供应链金融中的风险控制、资金融通等问题，提升整个产业链的竞争力</w:t>
      </w:r>
      <w:r>
        <w:rPr>
          <w:rFonts w:ascii="宋体" w:eastAsia="宋体" w:hAnsi="宋体" w:hint="eastAsia"/>
          <w:sz w:val="24"/>
          <w:szCs w:val="24"/>
        </w:rPr>
        <w:t>。</w:t>
      </w:r>
    </w:p>
    <w:sectPr w:rsidR="00C1670A" w:rsidRPr="003F0D04" w:rsidSect="00C83BC2">
      <w:pgSz w:w="10319" w:h="14572" w:code="13"/>
      <w:pgMar w:top="1134" w:right="1797" w:bottom="1440" w:left="1134" w:header="851" w:footer="992" w:gutter="56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D21CA"/>
    <w:multiLevelType w:val="multilevel"/>
    <w:tmpl w:val="03A42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EF503A"/>
    <w:multiLevelType w:val="multilevel"/>
    <w:tmpl w:val="11E6F3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8D6E60"/>
    <w:multiLevelType w:val="multilevel"/>
    <w:tmpl w:val="2E26F6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C35FED"/>
    <w:multiLevelType w:val="multilevel"/>
    <w:tmpl w:val="AFEA3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F5F3CCB"/>
    <w:multiLevelType w:val="multilevel"/>
    <w:tmpl w:val="EEC476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EE6285"/>
    <w:multiLevelType w:val="multilevel"/>
    <w:tmpl w:val="A2AACE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9167881">
    <w:abstractNumId w:val="3"/>
  </w:num>
  <w:num w:numId="2" w16cid:durableId="632180052">
    <w:abstractNumId w:val="4"/>
    <w:lvlOverride w:ilvl="0">
      <w:lvl w:ilvl="0">
        <w:numFmt w:val="decimal"/>
        <w:lvlText w:val="%1."/>
        <w:lvlJc w:val="left"/>
      </w:lvl>
    </w:lvlOverride>
  </w:num>
  <w:num w:numId="3" w16cid:durableId="1123573862">
    <w:abstractNumId w:val="1"/>
  </w:num>
  <w:num w:numId="4" w16cid:durableId="1810054512">
    <w:abstractNumId w:val="5"/>
    <w:lvlOverride w:ilvl="0">
      <w:lvl w:ilvl="0">
        <w:numFmt w:val="decimal"/>
        <w:lvlText w:val="%1."/>
        <w:lvlJc w:val="left"/>
      </w:lvl>
    </w:lvlOverride>
  </w:num>
  <w:num w:numId="5" w16cid:durableId="1471511437">
    <w:abstractNumId w:val="0"/>
  </w:num>
  <w:num w:numId="6" w16cid:durableId="2071881570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mirrorMargin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D04"/>
    <w:rsid w:val="00167E83"/>
    <w:rsid w:val="003007E5"/>
    <w:rsid w:val="00346A56"/>
    <w:rsid w:val="003F0D04"/>
    <w:rsid w:val="005108D3"/>
    <w:rsid w:val="00791F5C"/>
    <w:rsid w:val="008E5B1A"/>
    <w:rsid w:val="00942B5E"/>
    <w:rsid w:val="00972BB6"/>
    <w:rsid w:val="0097598D"/>
    <w:rsid w:val="00A01465"/>
    <w:rsid w:val="00A41C84"/>
    <w:rsid w:val="00C1670A"/>
    <w:rsid w:val="00C83BC2"/>
    <w:rsid w:val="00EB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6183D0"/>
  <w15:chartTrackingRefBased/>
  <w15:docId w15:val="{EE509B1A-A7BD-4029-A2A3-D88021174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F0D0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0D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0D0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F0D0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F0D0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F0D0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0D0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F0D0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F0D0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F0D0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F0D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F0D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F0D0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F0D0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F0D0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F0D0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F0D0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F0D0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F0D0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F0D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F0D0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F0D0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F0D0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F0D0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F0D0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F0D0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F0D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F0D0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F0D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40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8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 姚</dc:creator>
  <cp:keywords/>
  <dc:description/>
  <cp:lastModifiedBy>江 姚</cp:lastModifiedBy>
  <cp:revision>2</cp:revision>
  <dcterms:created xsi:type="dcterms:W3CDTF">2025-06-09T11:15:00Z</dcterms:created>
  <dcterms:modified xsi:type="dcterms:W3CDTF">2025-06-09T11:24:00Z</dcterms:modified>
</cp:coreProperties>
</file>