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1775B1" w14:textId="307E3A73" w:rsidR="0017482C" w:rsidRPr="00A535AC" w:rsidRDefault="00A535AC" w:rsidP="00A535AC">
      <w:pPr>
        <w:jc w:val="center"/>
        <w:rPr>
          <w:rFonts w:ascii="宋体" w:eastAsia="宋体" w:hAnsi="宋体" w:hint="eastAsia"/>
          <w:b/>
          <w:bCs/>
          <w:sz w:val="32"/>
          <w:szCs w:val="32"/>
        </w:rPr>
      </w:pPr>
      <w:r w:rsidRPr="00A535AC">
        <w:rPr>
          <w:rFonts w:ascii="宋体" w:eastAsia="宋体" w:hAnsi="宋体" w:hint="eastAsia"/>
          <w:b/>
          <w:bCs/>
          <w:sz w:val="32"/>
          <w:szCs w:val="32"/>
        </w:rPr>
        <w:t>基于中国银行</w:t>
      </w:r>
      <w:r w:rsidR="00064D11">
        <w:rPr>
          <w:rFonts w:ascii="宋体" w:eastAsia="宋体" w:hAnsi="宋体" w:hint="eastAsia"/>
          <w:b/>
          <w:bCs/>
          <w:sz w:val="32"/>
          <w:szCs w:val="32"/>
        </w:rPr>
        <w:t>推行</w:t>
      </w:r>
      <w:r w:rsidRPr="00A535AC">
        <w:rPr>
          <w:rFonts w:ascii="宋体" w:eastAsia="宋体" w:hAnsi="宋体" w:hint="eastAsia"/>
          <w:b/>
          <w:bCs/>
          <w:sz w:val="32"/>
          <w:szCs w:val="32"/>
        </w:rPr>
        <w:t>BPO数字结算方式对“一带一路”国际供应</w:t>
      </w:r>
      <w:proofErr w:type="gramStart"/>
      <w:r w:rsidRPr="00A535AC">
        <w:rPr>
          <w:rFonts w:ascii="宋体" w:eastAsia="宋体" w:hAnsi="宋体" w:hint="eastAsia"/>
          <w:b/>
          <w:bCs/>
          <w:sz w:val="32"/>
          <w:szCs w:val="32"/>
        </w:rPr>
        <w:t>链金融</w:t>
      </w:r>
      <w:proofErr w:type="gramEnd"/>
      <w:r w:rsidRPr="00A535AC">
        <w:rPr>
          <w:rFonts w:ascii="宋体" w:eastAsia="宋体" w:hAnsi="宋体" w:hint="eastAsia"/>
          <w:b/>
          <w:bCs/>
          <w:sz w:val="32"/>
          <w:szCs w:val="32"/>
        </w:rPr>
        <w:t>运作的思考</w:t>
      </w:r>
    </w:p>
    <w:p w14:paraId="58C80048" w14:textId="5B656990" w:rsidR="00A535AC" w:rsidRDefault="00A535AC" w:rsidP="004F5AFC">
      <w:pPr>
        <w:ind w:firstLineChars="200" w:firstLine="480"/>
        <w:rPr>
          <w:rFonts w:ascii="宋体" w:eastAsia="宋体" w:hAnsi="宋体" w:hint="eastAsia"/>
          <w:sz w:val="24"/>
          <w:szCs w:val="24"/>
        </w:rPr>
      </w:pPr>
      <w:r w:rsidRPr="00A535AC">
        <w:rPr>
          <w:rFonts w:ascii="宋体" w:eastAsia="宋体" w:hAnsi="宋体"/>
          <w:sz w:val="24"/>
          <w:szCs w:val="24"/>
        </w:rPr>
        <w:t>包容融合、互利共赢、相互依存、共同发展是人类历史演进的整体趋势。在构建人类命运共同体的百年未有之大变局的进程中，“一带一路”倡议贡献了中国方案和中国智慧。</w:t>
      </w:r>
      <w:r w:rsidR="00047901" w:rsidRPr="00047901">
        <w:rPr>
          <w:rFonts w:ascii="宋体" w:eastAsia="宋体" w:hAnsi="宋体" w:hint="eastAsia"/>
          <w:sz w:val="24"/>
          <w:szCs w:val="24"/>
        </w:rPr>
        <w:t>“一带一路”</w:t>
      </w:r>
      <w:proofErr w:type="gramStart"/>
      <w:r w:rsidR="00047901" w:rsidRPr="00047901">
        <w:rPr>
          <w:rFonts w:ascii="宋体" w:eastAsia="宋体" w:hAnsi="宋体" w:hint="eastAsia"/>
          <w:sz w:val="24"/>
          <w:szCs w:val="24"/>
        </w:rPr>
        <w:t>倡议自</w:t>
      </w:r>
      <w:proofErr w:type="gramEnd"/>
      <w:r w:rsidR="00047901" w:rsidRPr="00047901">
        <w:rPr>
          <w:rFonts w:ascii="宋体" w:eastAsia="宋体" w:hAnsi="宋体" w:hint="eastAsia"/>
          <w:sz w:val="24"/>
          <w:szCs w:val="24"/>
        </w:rPr>
        <w:t>2013年提出以来，已成为促进全球经济合作与发展的重要平台。截至目前，已有152个国家和32个国际组织积极响应并参与其中，这一倡议的实施推动了沿线国家之间贸易与投资的深度融合，国际供应链的规模与复杂度也随之不断提升。在此背景下，国际供应</w:t>
      </w:r>
      <w:proofErr w:type="gramStart"/>
      <w:r w:rsidR="00047901" w:rsidRPr="00047901">
        <w:rPr>
          <w:rFonts w:ascii="宋体" w:eastAsia="宋体" w:hAnsi="宋体" w:hint="eastAsia"/>
          <w:sz w:val="24"/>
          <w:szCs w:val="24"/>
        </w:rPr>
        <w:t>链金融</w:t>
      </w:r>
      <w:proofErr w:type="gramEnd"/>
      <w:r w:rsidR="00047901" w:rsidRPr="00047901">
        <w:rPr>
          <w:rFonts w:ascii="宋体" w:eastAsia="宋体" w:hAnsi="宋体" w:hint="eastAsia"/>
          <w:sz w:val="24"/>
          <w:szCs w:val="24"/>
        </w:rPr>
        <w:t>作为保障供应链顺畅运行的关键支撑，其重要性愈发凸显</w:t>
      </w:r>
      <w:r w:rsidR="004F5AFC">
        <w:rPr>
          <w:rFonts w:ascii="宋体" w:eastAsia="宋体" w:hAnsi="宋体" w:hint="eastAsia"/>
          <w:sz w:val="24"/>
          <w:szCs w:val="24"/>
        </w:rPr>
        <w:t>，</w:t>
      </w:r>
      <w:r w:rsidR="00047901" w:rsidRPr="00047901">
        <w:rPr>
          <w:rFonts w:ascii="宋体" w:eastAsia="宋体" w:hAnsi="宋体" w:hint="eastAsia"/>
          <w:sz w:val="24"/>
          <w:szCs w:val="24"/>
        </w:rPr>
        <w:t>它不仅能够为供应链上的企业提供必要的资金支持，缓解资金压力，还能优化资源配置，提升整个供应链的竞争力。而随着数字化时代的到来，数字结算方式在国际供应</w:t>
      </w:r>
      <w:proofErr w:type="gramStart"/>
      <w:r w:rsidR="00047901" w:rsidRPr="00047901">
        <w:rPr>
          <w:rFonts w:ascii="宋体" w:eastAsia="宋体" w:hAnsi="宋体" w:hint="eastAsia"/>
          <w:sz w:val="24"/>
          <w:szCs w:val="24"/>
        </w:rPr>
        <w:t>链金融</w:t>
      </w:r>
      <w:proofErr w:type="gramEnd"/>
      <w:r w:rsidR="00047901" w:rsidRPr="00047901">
        <w:rPr>
          <w:rFonts w:ascii="宋体" w:eastAsia="宋体" w:hAnsi="宋体" w:hint="eastAsia"/>
          <w:sz w:val="24"/>
          <w:szCs w:val="24"/>
        </w:rPr>
        <w:t>中的应用，更是为解决传统结算方式存在的效率低、成本高、风险大等问题提供了新的思路与方法。</w:t>
      </w:r>
    </w:p>
    <w:p w14:paraId="11C51F62" w14:textId="0E585DE9" w:rsidR="00AF06FA" w:rsidRDefault="00AF06FA" w:rsidP="004F5AFC">
      <w:pPr>
        <w:ind w:firstLineChars="200" w:firstLine="480"/>
        <w:rPr>
          <w:rFonts w:ascii="宋体" w:eastAsia="宋体" w:hAnsi="宋体" w:hint="eastAsia"/>
          <w:sz w:val="24"/>
          <w:szCs w:val="24"/>
        </w:rPr>
      </w:pPr>
      <w:r w:rsidRPr="00AF06FA">
        <w:rPr>
          <w:rFonts w:ascii="宋体" w:eastAsia="宋体" w:hAnsi="宋体"/>
          <w:sz w:val="24"/>
          <w:szCs w:val="24"/>
        </w:rPr>
        <w:t>在“一带一路”倡议下的国际供应链中，涉及众多国家和地区的企业贸易往来频繁，传统结算方式面临诸多挑战</w:t>
      </w:r>
      <w:r w:rsidR="005303F7">
        <w:rPr>
          <w:rFonts w:ascii="宋体" w:eastAsia="宋体" w:hAnsi="宋体" w:hint="eastAsia"/>
          <w:sz w:val="24"/>
          <w:szCs w:val="24"/>
        </w:rPr>
        <w:t>，</w:t>
      </w:r>
      <w:r w:rsidRPr="00AF06FA">
        <w:rPr>
          <w:rFonts w:ascii="宋体" w:eastAsia="宋体" w:hAnsi="宋体"/>
          <w:sz w:val="24"/>
          <w:szCs w:val="24"/>
        </w:rPr>
        <w:t>而BPO数字结算方式凭借其独特优势，在多个场景中得到了应用。</w:t>
      </w:r>
      <w:r w:rsidR="00B344AB" w:rsidRPr="00B344AB">
        <w:rPr>
          <w:rFonts w:ascii="宋体" w:eastAsia="宋体" w:hAnsi="宋体" w:hint="eastAsia"/>
          <w:sz w:val="24"/>
          <w:szCs w:val="24"/>
        </w:rPr>
        <w:t>BPO是由一家银行向另一家银行做出的在特定日期、特定事件发生后进行支付的不可撤销的承诺，对在接收行提交的数据包与交易框架匹配成功后的担保银行付款做出保证。</w:t>
      </w:r>
      <w:r w:rsidR="00154594" w:rsidRPr="00154594">
        <w:rPr>
          <w:rFonts w:ascii="宋体" w:eastAsia="宋体" w:hAnsi="宋体" w:hint="eastAsia"/>
          <w:sz w:val="24"/>
          <w:szCs w:val="24"/>
        </w:rPr>
        <w:t>总体而言，我国国际结算的电子化进程发展较为缓慢。2002年9月，招商银行首开先河，在青岛开出了国内第一张人民币电子信用证，开启了国内银行业电子交单的大门。很长一段时间后的2010年4月2日，中国银行则成为国内在国际贸易中第一家开立真正的BPO的银行</w:t>
      </w:r>
      <w:r w:rsidR="00397B3C">
        <w:rPr>
          <w:rFonts w:ascii="宋体" w:eastAsia="宋体" w:hAnsi="宋体" w:hint="eastAsia"/>
          <w:sz w:val="24"/>
          <w:szCs w:val="24"/>
        </w:rPr>
        <w:t>。</w:t>
      </w:r>
      <w:r w:rsidR="00397B3C" w:rsidRPr="00397B3C">
        <w:rPr>
          <w:rFonts w:ascii="宋体" w:eastAsia="宋体" w:hAnsi="宋体"/>
          <w:sz w:val="24"/>
          <w:szCs w:val="24"/>
        </w:rPr>
        <w:t>这一新型结算方式将赊销的便捷性、信用证的安全性以及供应</w:t>
      </w:r>
      <w:proofErr w:type="gramStart"/>
      <w:r w:rsidR="00397B3C" w:rsidRPr="00397B3C">
        <w:rPr>
          <w:rFonts w:ascii="宋体" w:eastAsia="宋体" w:hAnsi="宋体"/>
          <w:sz w:val="24"/>
          <w:szCs w:val="24"/>
        </w:rPr>
        <w:t>链服务</w:t>
      </w:r>
      <w:proofErr w:type="gramEnd"/>
      <w:r w:rsidR="00397B3C" w:rsidRPr="00397B3C">
        <w:rPr>
          <w:rFonts w:ascii="宋体" w:eastAsia="宋体" w:hAnsi="宋体"/>
          <w:sz w:val="24"/>
          <w:szCs w:val="24"/>
        </w:rPr>
        <w:t>的专业性有机融合，具有显著优势。它极大地提高了结算效率，减少了人工处理环节，降低了人为错误的发生概率；同时，通过数字化的交易匹配和付款承诺机制，有效降低了结算风险，为企业提供了更加稳定可靠的结算环境；此外，BPO还能帮助企业优化资金流管理，加速资金周转，降低融资成本。</w:t>
      </w:r>
    </w:p>
    <w:p w14:paraId="75895BBA" w14:textId="2AD91DA9" w:rsidR="00757C90" w:rsidRDefault="00757C90" w:rsidP="004F5AFC">
      <w:pPr>
        <w:ind w:firstLineChars="200" w:firstLine="480"/>
        <w:rPr>
          <w:rFonts w:ascii="宋体" w:eastAsia="宋体" w:hAnsi="宋体" w:hint="eastAsia"/>
          <w:sz w:val="24"/>
          <w:szCs w:val="24"/>
        </w:rPr>
      </w:pPr>
      <w:r w:rsidRPr="00757C90">
        <w:rPr>
          <w:rFonts w:ascii="宋体" w:eastAsia="宋体" w:hAnsi="宋体" w:hint="eastAsia"/>
          <w:sz w:val="24"/>
          <w:szCs w:val="24"/>
        </w:rPr>
        <w:t>在跨境电商领域，“一带一路”沿线国家的跨境电</w:t>
      </w:r>
      <w:proofErr w:type="gramStart"/>
      <w:r w:rsidRPr="00757C90">
        <w:rPr>
          <w:rFonts w:ascii="宋体" w:eastAsia="宋体" w:hAnsi="宋体" w:hint="eastAsia"/>
          <w:sz w:val="24"/>
          <w:szCs w:val="24"/>
        </w:rPr>
        <w:t>商业务</w:t>
      </w:r>
      <w:proofErr w:type="gramEnd"/>
      <w:r w:rsidRPr="00757C90">
        <w:rPr>
          <w:rFonts w:ascii="宋体" w:eastAsia="宋体" w:hAnsi="宋体" w:hint="eastAsia"/>
          <w:sz w:val="24"/>
          <w:szCs w:val="24"/>
        </w:rPr>
        <w:t>发展迅速。但由于跨境电商交易具有小额高频的特点，企业常面临跨境结算效率不高、回款不稳定等问题</w:t>
      </w:r>
      <w:r>
        <w:rPr>
          <w:rFonts w:ascii="宋体" w:eastAsia="宋体" w:hAnsi="宋体" w:hint="eastAsia"/>
          <w:sz w:val="24"/>
          <w:szCs w:val="24"/>
        </w:rPr>
        <w:t>，</w:t>
      </w:r>
      <w:r w:rsidRPr="00757C90">
        <w:rPr>
          <w:rFonts w:ascii="宋体" w:eastAsia="宋体" w:hAnsi="宋体" w:hint="eastAsia"/>
          <w:sz w:val="24"/>
          <w:szCs w:val="24"/>
        </w:rPr>
        <w:t>中国银行基于此研发推出“中银跨境e商通”系列产品，借助BPO数字结算方式，实现了批量实时结算，大幅降低了企业结算成本，有力地推动了跨境电</w:t>
      </w:r>
      <w:proofErr w:type="gramStart"/>
      <w:r w:rsidRPr="00757C90">
        <w:rPr>
          <w:rFonts w:ascii="宋体" w:eastAsia="宋体" w:hAnsi="宋体" w:hint="eastAsia"/>
          <w:sz w:val="24"/>
          <w:szCs w:val="24"/>
        </w:rPr>
        <w:t>商业务</w:t>
      </w:r>
      <w:proofErr w:type="gramEnd"/>
      <w:r w:rsidRPr="00757C90">
        <w:rPr>
          <w:rFonts w:ascii="宋体" w:eastAsia="宋体" w:hAnsi="宋体" w:hint="eastAsia"/>
          <w:sz w:val="24"/>
          <w:szCs w:val="24"/>
        </w:rPr>
        <w:t>的发展。</w:t>
      </w:r>
      <w:r w:rsidR="00391DA5" w:rsidRPr="00391DA5">
        <w:rPr>
          <w:rFonts w:ascii="宋体" w:eastAsia="宋体" w:hAnsi="宋体" w:hint="eastAsia"/>
          <w:sz w:val="24"/>
          <w:szCs w:val="24"/>
        </w:rPr>
        <w:t>中欧班列作为“一带一路”的重要物流通道，在促进贸易增长方面发挥着重要作用。随着中欧班列运能的提升，进出口企业对使用铁路运单质押融资、减少资金占压的需求日益迫切。然而，在现行法律框架和国际规则下，铁路运单不具备物权属性，这使得商业银行开展相关融资业务面临较高风险</w:t>
      </w:r>
      <w:r w:rsidR="00335B09">
        <w:rPr>
          <w:rFonts w:ascii="宋体" w:eastAsia="宋体" w:hAnsi="宋体" w:hint="eastAsia"/>
          <w:sz w:val="24"/>
          <w:szCs w:val="24"/>
        </w:rPr>
        <w:t>。</w:t>
      </w:r>
      <w:r w:rsidR="00391DA5" w:rsidRPr="00391DA5">
        <w:rPr>
          <w:rFonts w:ascii="宋体" w:eastAsia="宋体" w:hAnsi="宋体" w:hint="eastAsia"/>
          <w:sz w:val="24"/>
          <w:szCs w:val="24"/>
        </w:rPr>
        <w:t>为解决这一问题，重庆、成都和郑州等地自贸区借鉴海运提单融资模式，开展中欧班</w:t>
      </w:r>
      <w:proofErr w:type="gramStart"/>
      <w:r w:rsidR="00391DA5" w:rsidRPr="00391DA5">
        <w:rPr>
          <w:rFonts w:ascii="宋体" w:eastAsia="宋体" w:hAnsi="宋体" w:hint="eastAsia"/>
          <w:sz w:val="24"/>
          <w:szCs w:val="24"/>
        </w:rPr>
        <w:t>列铁路</w:t>
      </w:r>
      <w:proofErr w:type="gramEnd"/>
      <w:r w:rsidR="00391DA5" w:rsidRPr="00391DA5">
        <w:rPr>
          <w:rFonts w:ascii="宋体" w:eastAsia="宋体" w:hAnsi="宋体" w:hint="eastAsia"/>
          <w:sz w:val="24"/>
          <w:szCs w:val="24"/>
        </w:rPr>
        <w:t>运单融资。其中，BPO数字结算方式可与铁路运单融资相结合，通过贸易数据的匹配和银行付款责任的确定，为企业提供融资支持。</w:t>
      </w:r>
      <w:r w:rsidR="00335B09" w:rsidRPr="00335B09">
        <w:rPr>
          <w:rFonts w:ascii="宋体" w:eastAsia="宋体" w:hAnsi="宋体" w:hint="eastAsia"/>
          <w:sz w:val="24"/>
          <w:szCs w:val="24"/>
        </w:rPr>
        <w:t>例如，某家通过中欧班列运输货物的企业，在向银行申请融资时，银行依据BPO数字结算系统中贸易数据的匹配情况，确认企业贸易的真实性和合</w:t>
      </w:r>
      <w:proofErr w:type="gramStart"/>
      <w:r w:rsidR="00335B09" w:rsidRPr="00335B09">
        <w:rPr>
          <w:rFonts w:ascii="宋体" w:eastAsia="宋体" w:hAnsi="宋体" w:hint="eastAsia"/>
          <w:sz w:val="24"/>
          <w:szCs w:val="24"/>
        </w:rPr>
        <w:t>规</w:t>
      </w:r>
      <w:proofErr w:type="gramEnd"/>
      <w:r w:rsidR="00335B09" w:rsidRPr="00335B09">
        <w:rPr>
          <w:rFonts w:ascii="宋体" w:eastAsia="宋体" w:hAnsi="宋体" w:hint="eastAsia"/>
          <w:sz w:val="24"/>
          <w:szCs w:val="24"/>
        </w:rPr>
        <w:t>性后，为其提供相应的融资额度，解决了企业的资金周转难题。</w:t>
      </w:r>
    </w:p>
    <w:p w14:paraId="5F49AC2F" w14:textId="50CD2CA9" w:rsidR="00B52475" w:rsidRPr="00A535AC" w:rsidRDefault="00B52475" w:rsidP="004F5AFC">
      <w:pPr>
        <w:ind w:firstLineChars="200" w:firstLine="480"/>
        <w:rPr>
          <w:rFonts w:ascii="宋体" w:eastAsia="宋体" w:hAnsi="宋体" w:hint="eastAsia"/>
          <w:sz w:val="24"/>
          <w:szCs w:val="24"/>
        </w:rPr>
      </w:pPr>
      <w:r w:rsidRPr="00B52475">
        <w:rPr>
          <w:rFonts w:ascii="宋体" w:eastAsia="宋体" w:hAnsi="宋体" w:hint="eastAsia"/>
          <w:sz w:val="24"/>
          <w:szCs w:val="24"/>
        </w:rPr>
        <w:t>尽管BPO数字结算方式在“一带一路”国际供应</w:t>
      </w:r>
      <w:proofErr w:type="gramStart"/>
      <w:r w:rsidRPr="00B52475">
        <w:rPr>
          <w:rFonts w:ascii="宋体" w:eastAsia="宋体" w:hAnsi="宋体" w:hint="eastAsia"/>
          <w:sz w:val="24"/>
          <w:szCs w:val="24"/>
        </w:rPr>
        <w:t>链金融</w:t>
      </w:r>
      <w:proofErr w:type="gramEnd"/>
      <w:r w:rsidRPr="00B52475">
        <w:rPr>
          <w:rFonts w:ascii="宋体" w:eastAsia="宋体" w:hAnsi="宋体" w:hint="eastAsia"/>
          <w:sz w:val="24"/>
          <w:szCs w:val="24"/>
        </w:rPr>
        <w:t>中具有广阔的应用前景，但在实际推广和应用过程中，仍面临一些挑战</w:t>
      </w:r>
      <w:r w:rsidR="000971C0">
        <w:rPr>
          <w:rFonts w:ascii="宋体" w:eastAsia="宋体" w:hAnsi="宋体" w:hint="eastAsia"/>
          <w:sz w:val="24"/>
          <w:szCs w:val="24"/>
        </w:rPr>
        <w:t>，</w:t>
      </w:r>
      <w:r w:rsidR="009565A5">
        <w:rPr>
          <w:rFonts w:ascii="宋体" w:eastAsia="宋体" w:hAnsi="宋体" w:hint="eastAsia"/>
          <w:sz w:val="24"/>
          <w:szCs w:val="24"/>
        </w:rPr>
        <w:t>需要采取相应措施进行改善</w:t>
      </w:r>
      <w:r w:rsidRPr="00B52475">
        <w:rPr>
          <w:rFonts w:ascii="宋体" w:eastAsia="宋体" w:hAnsi="宋体" w:hint="eastAsia"/>
          <w:sz w:val="24"/>
          <w:szCs w:val="24"/>
        </w:rPr>
        <w:t>。</w:t>
      </w:r>
      <w:r w:rsidR="002B1C81" w:rsidRPr="002B1C81">
        <w:rPr>
          <w:rFonts w:ascii="宋体" w:eastAsia="宋体" w:hAnsi="宋体" w:hint="eastAsia"/>
          <w:sz w:val="24"/>
          <w:szCs w:val="24"/>
        </w:rPr>
        <w:lastRenderedPageBreak/>
        <w:t>从法律层面来看，URBPO规则仅适用于银行间</w:t>
      </w:r>
      <w:r w:rsidR="002B1C81">
        <w:rPr>
          <w:rFonts w:ascii="宋体" w:eastAsia="宋体" w:hAnsi="宋体" w:hint="eastAsia"/>
          <w:sz w:val="24"/>
          <w:szCs w:val="24"/>
        </w:rPr>
        <w:t>，</w:t>
      </w:r>
      <w:r w:rsidR="002B1C81" w:rsidRPr="002B1C81">
        <w:rPr>
          <w:rFonts w:ascii="宋体" w:eastAsia="宋体" w:hAnsi="宋体" w:hint="eastAsia"/>
          <w:sz w:val="24"/>
          <w:szCs w:val="24"/>
        </w:rPr>
        <w:t>BPO项下的法律纠纷解决并不在其处理范围内</w:t>
      </w:r>
      <w:r w:rsidR="002B1C81">
        <w:rPr>
          <w:rFonts w:ascii="宋体" w:eastAsia="宋体" w:hAnsi="宋体" w:hint="eastAsia"/>
          <w:sz w:val="24"/>
          <w:szCs w:val="24"/>
        </w:rPr>
        <w:t>，</w:t>
      </w:r>
      <w:r w:rsidR="002B1C81" w:rsidRPr="002B1C81">
        <w:rPr>
          <w:rFonts w:ascii="宋体" w:eastAsia="宋体" w:hAnsi="宋体"/>
          <w:sz w:val="24"/>
          <w:szCs w:val="24"/>
        </w:rPr>
        <w:t>应加强国际间的法律协调与合作</w:t>
      </w:r>
      <w:r w:rsidR="00B145AE">
        <w:rPr>
          <w:rFonts w:ascii="宋体" w:eastAsia="宋体" w:hAnsi="宋体" w:hint="eastAsia"/>
          <w:sz w:val="24"/>
          <w:szCs w:val="24"/>
        </w:rPr>
        <w:t>，</w:t>
      </w:r>
      <w:r w:rsidR="002B1C81" w:rsidRPr="002B1C81">
        <w:rPr>
          <w:rFonts w:ascii="宋体" w:eastAsia="宋体" w:hAnsi="宋体"/>
          <w:sz w:val="24"/>
          <w:szCs w:val="24"/>
        </w:rPr>
        <w:t>“一带一路”沿线国家应积极开展对话与交流，就BPO数字结算方式的相关法律问题进行探讨，制定统一或相互认可的法律规则和标准，减少法律冲突。</w:t>
      </w:r>
      <w:r w:rsidR="00B145AE" w:rsidRPr="00B145AE">
        <w:rPr>
          <w:rFonts w:ascii="宋体" w:eastAsia="宋体" w:hAnsi="宋体" w:hint="eastAsia"/>
          <w:sz w:val="24"/>
          <w:szCs w:val="24"/>
        </w:rPr>
        <w:t>在技术与操作方面，银行与企业开展BPO业务必须通过TSU系统平台进行操作</w:t>
      </w:r>
      <w:r w:rsidR="00B145AE">
        <w:rPr>
          <w:rFonts w:ascii="宋体" w:eastAsia="宋体" w:hAnsi="宋体" w:hint="eastAsia"/>
          <w:sz w:val="24"/>
          <w:szCs w:val="24"/>
        </w:rPr>
        <w:t>，</w:t>
      </w:r>
      <w:r w:rsidR="00B145AE" w:rsidRPr="00B145AE">
        <w:rPr>
          <w:rFonts w:ascii="宋体" w:eastAsia="宋体" w:hAnsi="宋体" w:hint="eastAsia"/>
          <w:sz w:val="24"/>
          <w:szCs w:val="24"/>
        </w:rPr>
        <w:t>然而我国大部分中资银行内部业务操作系统难以与BPO操作系统有效对接，无法实现银行内部自动联动记账，这在很大程度上影响了银行对BPO业务的推广积极性。</w:t>
      </w:r>
      <w:r w:rsidR="00B145AE" w:rsidRPr="00B145AE">
        <w:rPr>
          <w:rFonts w:ascii="宋体" w:eastAsia="宋体" w:hAnsi="宋体"/>
          <w:sz w:val="24"/>
          <w:szCs w:val="24"/>
        </w:rPr>
        <w:t>银行应加大对内部业务系统的升级改造投入，促进与BPO操作系统的无缝对接，实现自动联动记账等功能，提高业务处理效率。</w:t>
      </w:r>
    </w:p>
    <w:sectPr w:rsidR="00B52475" w:rsidRPr="00A535A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DD68FC" w14:textId="77777777" w:rsidR="00A9110D" w:rsidRDefault="00A9110D" w:rsidP="00E47C0F">
      <w:pPr>
        <w:rPr>
          <w:rFonts w:hint="eastAsia"/>
        </w:rPr>
      </w:pPr>
      <w:r>
        <w:separator/>
      </w:r>
    </w:p>
  </w:endnote>
  <w:endnote w:type="continuationSeparator" w:id="0">
    <w:p w14:paraId="1EF72D64" w14:textId="77777777" w:rsidR="00A9110D" w:rsidRDefault="00A9110D" w:rsidP="00E47C0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2D8FD" w14:textId="77777777" w:rsidR="00A9110D" w:rsidRDefault="00A9110D" w:rsidP="00E47C0F">
      <w:pPr>
        <w:rPr>
          <w:rFonts w:hint="eastAsia"/>
        </w:rPr>
      </w:pPr>
      <w:r>
        <w:separator/>
      </w:r>
    </w:p>
  </w:footnote>
  <w:footnote w:type="continuationSeparator" w:id="0">
    <w:p w14:paraId="769BC637" w14:textId="77777777" w:rsidR="00A9110D" w:rsidRDefault="00A9110D" w:rsidP="00E47C0F">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1D7C"/>
    <w:rsid w:val="00047901"/>
    <w:rsid w:val="00064D11"/>
    <w:rsid w:val="000971C0"/>
    <w:rsid w:val="000A1D7C"/>
    <w:rsid w:val="00154594"/>
    <w:rsid w:val="0017482C"/>
    <w:rsid w:val="001853BC"/>
    <w:rsid w:val="002761FA"/>
    <w:rsid w:val="002B1C81"/>
    <w:rsid w:val="00335B09"/>
    <w:rsid w:val="00346A56"/>
    <w:rsid w:val="0037246A"/>
    <w:rsid w:val="00391DA5"/>
    <w:rsid w:val="0039579D"/>
    <w:rsid w:val="00397B3C"/>
    <w:rsid w:val="004F5AFC"/>
    <w:rsid w:val="005303F7"/>
    <w:rsid w:val="00757C90"/>
    <w:rsid w:val="007801A1"/>
    <w:rsid w:val="009565A5"/>
    <w:rsid w:val="009E3C5F"/>
    <w:rsid w:val="009F6CFF"/>
    <w:rsid w:val="00A4500D"/>
    <w:rsid w:val="00A535AC"/>
    <w:rsid w:val="00A9110D"/>
    <w:rsid w:val="00AB1B25"/>
    <w:rsid w:val="00AF06FA"/>
    <w:rsid w:val="00B145AE"/>
    <w:rsid w:val="00B344AB"/>
    <w:rsid w:val="00B52475"/>
    <w:rsid w:val="00B86691"/>
    <w:rsid w:val="00BC1E5A"/>
    <w:rsid w:val="00BD2C3A"/>
    <w:rsid w:val="00DB201E"/>
    <w:rsid w:val="00E47C0F"/>
    <w:rsid w:val="00E808C9"/>
    <w:rsid w:val="00F06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BD61B8"/>
  <w15:chartTrackingRefBased/>
  <w15:docId w15:val="{DDF35BBE-26D6-45AB-84A9-F2ACADDE7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A1D7C"/>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0A1D7C"/>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0A1D7C"/>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0A1D7C"/>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0A1D7C"/>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0A1D7C"/>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0A1D7C"/>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0A1D7C"/>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0A1D7C"/>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A1D7C"/>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0A1D7C"/>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0A1D7C"/>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0A1D7C"/>
    <w:rPr>
      <w:rFonts w:cstheme="majorBidi"/>
      <w:color w:val="0F4761" w:themeColor="accent1" w:themeShade="BF"/>
      <w:sz w:val="28"/>
      <w:szCs w:val="28"/>
    </w:rPr>
  </w:style>
  <w:style w:type="character" w:customStyle="1" w:styleId="50">
    <w:name w:val="标题 5 字符"/>
    <w:basedOn w:val="a0"/>
    <w:link w:val="5"/>
    <w:uiPriority w:val="9"/>
    <w:semiHidden/>
    <w:rsid w:val="000A1D7C"/>
    <w:rPr>
      <w:rFonts w:cstheme="majorBidi"/>
      <w:color w:val="0F4761" w:themeColor="accent1" w:themeShade="BF"/>
      <w:sz w:val="24"/>
      <w:szCs w:val="24"/>
    </w:rPr>
  </w:style>
  <w:style w:type="character" w:customStyle="1" w:styleId="60">
    <w:name w:val="标题 6 字符"/>
    <w:basedOn w:val="a0"/>
    <w:link w:val="6"/>
    <w:uiPriority w:val="9"/>
    <w:semiHidden/>
    <w:rsid w:val="000A1D7C"/>
    <w:rPr>
      <w:rFonts w:cstheme="majorBidi"/>
      <w:b/>
      <w:bCs/>
      <w:color w:val="0F4761" w:themeColor="accent1" w:themeShade="BF"/>
    </w:rPr>
  </w:style>
  <w:style w:type="character" w:customStyle="1" w:styleId="70">
    <w:name w:val="标题 7 字符"/>
    <w:basedOn w:val="a0"/>
    <w:link w:val="7"/>
    <w:uiPriority w:val="9"/>
    <w:semiHidden/>
    <w:rsid w:val="000A1D7C"/>
    <w:rPr>
      <w:rFonts w:cstheme="majorBidi"/>
      <w:b/>
      <w:bCs/>
      <w:color w:val="595959" w:themeColor="text1" w:themeTint="A6"/>
    </w:rPr>
  </w:style>
  <w:style w:type="character" w:customStyle="1" w:styleId="80">
    <w:name w:val="标题 8 字符"/>
    <w:basedOn w:val="a0"/>
    <w:link w:val="8"/>
    <w:uiPriority w:val="9"/>
    <w:semiHidden/>
    <w:rsid w:val="000A1D7C"/>
    <w:rPr>
      <w:rFonts w:cstheme="majorBidi"/>
      <w:color w:val="595959" w:themeColor="text1" w:themeTint="A6"/>
    </w:rPr>
  </w:style>
  <w:style w:type="character" w:customStyle="1" w:styleId="90">
    <w:name w:val="标题 9 字符"/>
    <w:basedOn w:val="a0"/>
    <w:link w:val="9"/>
    <w:uiPriority w:val="9"/>
    <w:semiHidden/>
    <w:rsid w:val="000A1D7C"/>
    <w:rPr>
      <w:rFonts w:eastAsiaTheme="majorEastAsia" w:cstheme="majorBidi"/>
      <w:color w:val="595959" w:themeColor="text1" w:themeTint="A6"/>
    </w:rPr>
  </w:style>
  <w:style w:type="paragraph" w:styleId="a3">
    <w:name w:val="Title"/>
    <w:basedOn w:val="a"/>
    <w:next w:val="a"/>
    <w:link w:val="a4"/>
    <w:uiPriority w:val="10"/>
    <w:qFormat/>
    <w:rsid w:val="000A1D7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0A1D7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A1D7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0A1D7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A1D7C"/>
    <w:pPr>
      <w:spacing w:before="160" w:after="160"/>
      <w:jc w:val="center"/>
    </w:pPr>
    <w:rPr>
      <w:i/>
      <w:iCs/>
      <w:color w:val="404040" w:themeColor="text1" w:themeTint="BF"/>
    </w:rPr>
  </w:style>
  <w:style w:type="character" w:customStyle="1" w:styleId="a8">
    <w:name w:val="引用 字符"/>
    <w:basedOn w:val="a0"/>
    <w:link w:val="a7"/>
    <w:uiPriority w:val="29"/>
    <w:rsid w:val="000A1D7C"/>
    <w:rPr>
      <w:i/>
      <w:iCs/>
      <w:color w:val="404040" w:themeColor="text1" w:themeTint="BF"/>
    </w:rPr>
  </w:style>
  <w:style w:type="paragraph" w:styleId="a9">
    <w:name w:val="List Paragraph"/>
    <w:basedOn w:val="a"/>
    <w:uiPriority w:val="34"/>
    <w:qFormat/>
    <w:rsid w:val="000A1D7C"/>
    <w:pPr>
      <w:ind w:left="720"/>
      <w:contextualSpacing/>
    </w:pPr>
  </w:style>
  <w:style w:type="character" w:styleId="aa">
    <w:name w:val="Intense Emphasis"/>
    <w:basedOn w:val="a0"/>
    <w:uiPriority w:val="21"/>
    <w:qFormat/>
    <w:rsid w:val="000A1D7C"/>
    <w:rPr>
      <w:i/>
      <w:iCs/>
      <w:color w:val="0F4761" w:themeColor="accent1" w:themeShade="BF"/>
    </w:rPr>
  </w:style>
  <w:style w:type="paragraph" w:styleId="ab">
    <w:name w:val="Intense Quote"/>
    <w:basedOn w:val="a"/>
    <w:next w:val="a"/>
    <w:link w:val="ac"/>
    <w:uiPriority w:val="30"/>
    <w:qFormat/>
    <w:rsid w:val="000A1D7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0A1D7C"/>
    <w:rPr>
      <w:i/>
      <w:iCs/>
      <w:color w:val="0F4761" w:themeColor="accent1" w:themeShade="BF"/>
    </w:rPr>
  </w:style>
  <w:style w:type="character" w:styleId="ad">
    <w:name w:val="Intense Reference"/>
    <w:basedOn w:val="a0"/>
    <w:uiPriority w:val="32"/>
    <w:qFormat/>
    <w:rsid w:val="000A1D7C"/>
    <w:rPr>
      <w:b/>
      <w:bCs/>
      <w:smallCaps/>
      <w:color w:val="0F4761" w:themeColor="accent1" w:themeShade="BF"/>
      <w:spacing w:val="5"/>
    </w:rPr>
  </w:style>
  <w:style w:type="paragraph" w:styleId="ae">
    <w:name w:val="header"/>
    <w:basedOn w:val="a"/>
    <w:link w:val="af"/>
    <w:uiPriority w:val="99"/>
    <w:unhideWhenUsed/>
    <w:rsid w:val="00E47C0F"/>
    <w:pPr>
      <w:tabs>
        <w:tab w:val="center" w:pos="4153"/>
        <w:tab w:val="right" w:pos="8306"/>
      </w:tabs>
      <w:snapToGrid w:val="0"/>
      <w:jc w:val="center"/>
    </w:pPr>
    <w:rPr>
      <w:sz w:val="18"/>
      <w:szCs w:val="18"/>
    </w:rPr>
  </w:style>
  <w:style w:type="character" w:customStyle="1" w:styleId="af">
    <w:name w:val="页眉 字符"/>
    <w:basedOn w:val="a0"/>
    <w:link w:val="ae"/>
    <w:uiPriority w:val="99"/>
    <w:rsid w:val="00E47C0F"/>
    <w:rPr>
      <w:sz w:val="18"/>
      <w:szCs w:val="18"/>
    </w:rPr>
  </w:style>
  <w:style w:type="paragraph" w:styleId="af0">
    <w:name w:val="footer"/>
    <w:basedOn w:val="a"/>
    <w:link w:val="af1"/>
    <w:uiPriority w:val="99"/>
    <w:unhideWhenUsed/>
    <w:rsid w:val="00E47C0F"/>
    <w:pPr>
      <w:tabs>
        <w:tab w:val="center" w:pos="4153"/>
        <w:tab w:val="right" w:pos="8306"/>
      </w:tabs>
      <w:snapToGrid w:val="0"/>
      <w:jc w:val="left"/>
    </w:pPr>
    <w:rPr>
      <w:sz w:val="18"/>
      <w:szCs w:val="18"/>
    </w:rPr>
  </w:style>
  <w:style w:type="character" w:customStyle="1" w:styleId="af1">
    <w:name w:val="页脚 字符"/>
    <w:basedOn w:val="a0"/>
    <w:link w:val="af0"/>
    <w:uiPriority w:val="99"/>
    <w:rsid w:val="00E47C0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830</Words>
  <Characters>848</Characters>
  <Application>Microsoft Office Word</Application>
  <DocSecurity>0</DocSecurity>
  <Lines>26</Lines>
  <Paragraphs>5</Paragraphs>
  <ScaleCrop>false</ScaleCrop>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梦莹 吴</dc:creator>
  <cp:keywords/>
  <dc:description/>
  <cp:lastModifiedBy>梦莹 吴</cp:lastModifiedBy>
  <cp:revision>25</cp:revision>
  <dcterms:created xsi:type="dcterms:W3CDTF">2025-06-11T12:01:00Z</dcterms:created>
  <dcterms:modified xsi:type="dcterms:W3CDTF">2025-06-11T13:09:00Z</dcterms:modified>
</cp:coreProperties>
</file>