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lang w:eastAsia="zh-CN"/>
        </w:rPr>
        <w:t xml:space="preserve">                  </w:t>
      </w:r>
      <w:r>
        <w:rPr>
          <w:rFonts w:hint="eastAsia"/>
          <w:sz w:val="24"/>
          <w:szCs w:val="24"/>
        </w:rPr>
        <w:t>“订单融资+电商平台联动”供应链金融模式</w:t>
      </w:r>
    </w:p>
    <w:p>
      <w:pPr>
        <w:rPr>
          <w:rFonts w:hint="eastAsia"/>
          <w:lang w:eastAsia="zh-CN"/>
        </w:rPr>
      </w:pPr>
      <w:r>
        <w:rPr>
          <w:rFonts w:hint="eastAsia"/>
          <w:lang w:eastAsia="zh-CN"/>
        </w:rPr>
        <w:t xml:space="preserve">                                                            221030917穆秋彤</w:t>
      </w:r>
    </w:p>
    <w:p>
      <w:pPr>
        <w:rPr>
          <w:rFonts w:hint="eastAsia"/>
        </w:rPr>
      </w:pPr>
      <w:r>
        <w:rPr>
          <w:rFonts w:hint="eastAsia"/>
          <w:lang w:eastAsia="zh-CN"/>
        </w:rPr>
        <w:t xml:space="preserve">    </w:t>
      </w:r>
      <w:r>
        <w:rPr>
          <w:rFonts w:hint="eastAsia"/>
        </w:rPr>
        <w:t>在数字化浪潮席卷全球的背景下，供应链金融正经历着前所未有的变革。订单融资与电商平台联动的供应链金融模式，作为一种创新型金融解决方案，凭借其数据驱动、场景融合的特点，为中小微企业融资困境提供了新的破局之道。通过对贵州某米业公司与邮储银行黔南州分行合作案例的深入研读，笔者深刻认识到该模式在农业产业链中的实践价值、创新逻辑及其对产业发展的深远影响。</w:t>
      </w:r>
    </w:p>
    <w:p>
      <w:pPr>
        <w:rPr>
          <w:rFonts w:hint="eastAsia"/>
        </w:rPr>
      </w:pPr>
      <w:r>
        <w:rPr>
          <w:rFonts w:hint="eastAsia"/>
          <w:lang w:eastAsia="zh-CN"/>
        </w:rPr>
        <w:t xml:space="preserve"> </w:t>
      </w:r>
      <w:r>
        <w:rPr>
          <w:rFonts w:hint="eastAsia"/>
        </w:rPr>
        <w:t>一、案例背景：传统融资困境与创新需求的碰撞</w:t>
      </w:r>
    </w:p>
    <w:p>
      <w:pPr>
        <w:rPr>
          <w:rFonts w:hint="eastAsia"/>
        </w:rPr>
      </w:pPr>
      <w:r>
        <w:rPr>
          <w:rFonts w:hint="eastAsia"/>
          <w:lang w:eastAsia="zh-CN"/>
        </w:rPr>
        <w:t xml:space="preserve">    </w:t>
      </w:r>
      <w:r>
        <w:rPr>
          <w:rFonts w:hint="eastAsia"/>
        </w:rPr>
        <w:t>农业作为国民经济的基础产业，长期面临资金周转效率低、融资渠道狭窄等问题。贵州某米业公司作为省级农业产业化龙头企业，在拓展电商销售渠道的过程中，虽成功带动周边农户融入产业链，但自身及上下游的资金压力也日益凸显。中小供应商普遍存在轻资产、缺担保的特征，难以满足传统金融机构的授信要求，导致生产经营中的资金缺口无法填补。在此背景下，邮储银行黔南州分行推出的“订单融资+电商平台联动”模式，以电商平台数据为核心资产，构建起新型金融服务体系，成为破解农业供应链融资难题的关键突破口。</w:t>
      </w:r>
    </w:p>
    <w:p>
      <w:pPr>
        <w:rPr>
          <w:rFonts w:hint="eastAsia"/>
        </w:rPr>
      </w:pPr>
      <w:r>
        <w:rPr>
          <w:rFonts w:hint="eastAsia"/>
        </w:rPr>
        <w:t>二、业务模式：数据驱动与生态协同的深度融合</w:t>
      </w:r>
    </w:p>
    <w:p>
      <w:pPr>
        <w:rPr>
          <w:rFonts w:hint="eastAsia"/>
        </w:rPr>
      </w:pPr>
      <w:r>
        <w:rPr>
          <w:rFonts w:hint="eastAsia"/>
          <w:lang w:eastAsia="zh-CN"/>
        </w:rPr>
        <w:t xml:space="preserve">    </w:t>
      </w:r>
      <w:r>
        <w:rPr>
          <w:rFonts w:hint="eastAsia"/>
        </w:rPr>
        <w:t>该模式的核心在于将电商平台的订单数据转化为信用资产。银行突破传统抵押担保的局限，基于米业公司电商平台的订单规模、交易频次、履约记录等数据，建立动态化的信用评估模型，实现“订单即信用”的授信逻辑。同时，资金用途严格定向于农资采购、仓储物流等产业链关键环节，确保资金精准注入生产经营场景，有效提升产业链运转效率。</w:t>
      </w:r>
    </w:p>
    <w:p>
      <w:pPr>
        <w:rPr>
          <w:rFonts w:hint="eastAsia"/>
        </w:rPr>
      </w:pPr>
      <w:r>
        <w:rPr>
          <w:rFonts w:hint="eastAsia"/>
          <w:lang w:eastAsia="zh-CN"/>
        </w:rPr>
        <w:t xml:space="preserve">    </w:t>
      </w:r>
      <w:r>
        <w:rPr>
          <w:rFonts w:hint="eastAsia"/>
        </w:rPr>
        <w:t>电商平台在该模式中扮演着双重角色：一方面，其作为销售渠道的拓展者，帮助企业扩大市场覆盖范围，形成稳定的下游订单流；另一方面，作为数据中枢，平台实时采集交易数据，为银行提供可视化、可追溯的供应链数据链，显著增强了金融机构对风险的把控能力。此外，通过“企业+合作社+农户”的闭环合作模式，电商平台进一步将上游种植户纳入产业链体系，实现生产与销售的精准对接。</w:t>
      </w:r>
    </w:p>
    <w:p>
      <w:pPr>
        <w:rPr>
          <w:rFonts w:hint="eastAsia"/>
        </w:rPr>
      </w:pPr>
      <w:r>
        <w:rPr>
          <w:rFonts w:hint="eastAsia"/>
          <w:lang w:eastAsia="zh-CN"/>
        </w:rPr>
        <w:t xml:space="preserve">    </w:t>
      </w:r>
      <w:r>
        <w:rPr>
          <w:rFonts w:hint="eastAsia"/>
        </w:rPr>
        <w:t>政策支持与技术创新的协同效应为该模式提供了有力支撑。邮储银行结合乡村振兴政策，推出专项信贷产品，并运用大数据、区块链等技术手段，对供应链数据进行深度挖掘与交叉验证，有效降低了信息不对称风险，提升了金融服务的精准性与安全性。</w:t>
      </w:r>
    </w:p>
    <w:p>
      <w:pPr>
        <w:rPr>
          <w:rFonts w:hint="eastAsia"/>
        </w:rPr>
      </w:pPr>
      <w:r>
        <w:rPr>
          <w:rFonts w:hint="eastAsia"/>
        </w:rPr>
        <w:t>三、实施成效：多方共赢的产业发展新图景</w:t>
      </w:r>
    </w:p>
    <w:p>
      <w:pPr>
        <w:rPr>
          <w:rFonts w:hint="eastAsia"/>
        </w:rPr>
      </w:pPr>
      <w:r>
        <w:rPr>
          <w:rFonts w:hint="eastAsia"/>
          <w:lang w:eastAsia="zh-CN"/>
        </w:rPr>
        <w:t xml:space="preserve">    </w:t>
      </w:r>
      <w:r>
        <w:rPr>
          <w:rFonts w:hint="eastAsia"/>
        </w:rPr>
        <w:t>从经济效益来看，该模式显著提升了农业产业链的整体效能。米业公司年产量提升至800吨，资金周转效率大幅提高，生产周期稳定性得到保障；上游农户通过订单合同绑定生产，月均增收3200元，实现了从分散经营向规模化生产的转变。金融机构累计为产业链提供超8200万元的融资支持，有效激活了农业产业的发展动能。</w:t>
      </w:r>
    </w:p>
    <w:p>
      <w:pPr>
        <w:rPr>
          <w:rFonts w:hint="eastAsia"/>
        </w:rPr>
      </w:pPr>
      <w:r>
        <w:rPr>
          <w:rFonts w:hint="eastAsia"/>
          <w:lang w:eastAsia="zh-CN"/>
        </w:rPr>
        <w:t xml:space="preserve">    </w:t>
      </w:r>
      <w:r>
        <w:rPr>
          <w:rFonts w:hint="eastAsia"/>
        </w:rPr>
        <w:t>在社会效益层面，该模式成为推动乡村振兴的重要抓手。通过金融普惠政策的落实，产业链上下游的中小微主体获得平等的融资机会，带动110余人就业，促进了农民增收和农村经济发展。同时，“黔货出山”品牌化进程加速，农产品附加值得到提升，进一步增强了区域农业产业的市场竞争力。</w:t>
      </w:r>
    </w:p>
    <w:p>
      <w:pPr>
        <w:rPr>
          <w:rFonts w:hint="eastAsia"/>
        </w:rPr>
      </w:pPr>
      <w:r>
        <w:rPr>
          <w:rFonts w:hint="eastAsia"/>
          <w:lang w:eastAsia="zh-CN"/>
        </w:rPr>
        <w:t xml:space="preserve">    </w:t>
      </w:r>
      <w:r>
        <w:rPr>
          <w:rFonts w:hint="eastAsia"/>
        </w:rPr>
        <w:t>在风险控制方面，电商平台的实时数据监控与智能风控系统的动态管理，使银行能够及时掌握资金流向和企业经营状况，有效降低了违约风险。技术手段的应用实现了订单全流程可追溯，进一步保障了交易真实性，为金融机构的风险决策提供了坚实依据。</w:t>
      </w:r>
    </w:p>
    <w:p>
      <w:pPr>
        <w:rPr>
          <w:rFonts w:hint="eastAsia"/>
        </w:rPr>
      </w:pPr>
      <w:r>
        <w:rPr>
          <w:rFonts w:hint="eastAsia"/>
        </w:rPr>
        <w:t>四、创新价值与行业启示</w:t>
      </w:r>
    </w:p>
    <w:p>
      <w:pPr>
        <w:rPr>
          <w:rFonts w:hint="eastAsia"/>
        </w:rPr>
      </w:pPr>
      <w:r>
        <w:rPr>
          <w:rFonts w:hint="eastAsia"/>
          <w:lang w:eastAsia="zh-CN"/>
        </w:rPr>
        <w:t xml:space="preserve">    </w:t>
      </w:r>
      <w:r>
        <w:rPr>
          <w:rFonts w:hint="eastAsia"/>
        </w:rPr>
        <w:t>该模式最突出的创新在于实现了从“抵押依赖”到“数据信用”的转变，将电商平台积累的海量交易数据转化为可量化的信用资产，为轻资产运营的中小微企业开辟了新的融资路径。这种创新不仅拓宽了企业的融资渠道，更推动了金融机构信用评估体系的数字化转型。</w:t>
      </w:r>
    </w:p>
    <w:p>
      <w:pPr>
        <w:rPr>
          <w:rFonts w:hint="eastAsia"/>
        </w:rPr>
      </w:pPr>
    </w:p>
    <w:p>
      <w:pPr>
        <w:rPr>
          <w:rFonts w:hint="eastAsia"/>
        </w:rPr>
      </w:pPr>
      <w:r>
        <w:rPr>
          <w:rFonts w:hint="eastAsia"/>
        </w:rPr>
        <w:t>多方协同的生态构建是该模式成功的关键。政府、银行、电商平台三方形成合力，政策支持为模式落地提供保障，数据赋能提升服务效率，资金注入激活产业活力，三者相互配合、优势互补，构建起良性循环的产业金融生态系统。</w:t>
      </w:r>
    </w:p>
    <w:p>
      <w:pPr>
        <w:rPr>
          <w:rFonts w:hint="eastAsia"/>
        </w:rPr>
      </w:pPr>
      <w:r>
        <w:rPr>
          <w:rFonts w:hint="eastAsia"/>
          <w:lang w:eastAsia="zh-CN"/>
        </w:rPr>
        <w:t xml:space="preserve">    </w:t>
      </w:r>
      <w:r>
        <w:rPr>
          <w:rFonts w:hint="eastAsia"/>
        </w:rPr>
        <w:t>技术赋能贯穿于模式运行的全过程。区块链技术保障数据真实性与不可篡改性，大数据分析实现风险的精准识别，物联网设备监控生产经营动态，这些技术手段的应用显著提升了供应链金融的智能化水平，为行业发展提供了新的技术范式。</w:t>
      </w:r>
    </w:p>
    <w:p>
      <w:pPr>
        <w:rPr>
          <w:rFonts w:hint="eastAsia"/>
        </w:rPr>
      </w:pPr>
      <w:r>
        <w:rPr>
          <w:rFonts w:hint="eastAsia"/>
        </w:rPr>
        <w:t>五、挑战与展望：迈向数字化供应链金融新时代</w:t>
      </w:r>
    </w:p>
    <w:p>
      <w:pPr>
        <w:rPr>
          <w:rFonts w:hint="eastAsia"/>
        </w:rPr>
      </w:pPr>
      <w:r>
        <w:rPr>
          <w:rFonts w:hint="eastAsia"/>
          <w:lang w:eastAsia="zh-CN"/>
        </w:rPr>
        <w:t xml:space="preserve">    </w:t>
      </w:r>
      <w:r>
        <w:rPr>
          <w:rFonts w:hint="eastAsia"/>
        </w:rPr>
        <w:t>尽管该模式取得了显著成效，但在推广过程中仍面临诸多挑战。数据整合与合规问题成为制约其发展的主要瓶颈，中小农户数据分散、数据共享机制不完善等问题亟待解决；同时，技术应用成本高、政策法规滞后等因素也限制了模式的进一步拓展。</w:t>
      </w:r>
    </w:p>
    <w:p>
      <w:pPr>
        <w:rPr>
          <w:rFonts w:hint="eastAsia"/>
        </w:rPr>
      </w:pPr>
      <w:r>
        <w:rPr>
          <w:rFonts w:hint="eastAsia"/>
          <w:lang w:eastAsia="zh-CN"/>
        </w:rPr>
        <w:t xml:space="preserve">    </w:t>
      </w:r>
      <w:r>
        <w:rPr>
          <w:rFonts w:hint="eastAsia"/>
        </w:rPr>
        <w:t>展望未来，随着区块链、人工智能等技术的成熟，订单融资与电商平台联动模式有望实现新的突破。通过区块链技术构建可信数据共享平台，可实现订单确权、电子仓单质押等业务的高效运转；结合数字人民币的智能合约功能，能够进一步提升资金监管的透明度与安全性。此外，完善相关政策法规，明确电子凭证法律效力，将为模式的规范化发展提供制度保障。</w:t>
      </w:r>
    </w:p>
    <w:p>
      <w:pPr>
        <w:rPr>
          <w:rFonts w:hint="eastAsia"/>
        </w:rPr>
      </w:pPr>
      <w:r>
        <w:rPr>
          <w:rFonts w:hint="eastAsia"/>
        </w:rPr>
        <w:t>六、结语</w:t>
      </w:r>
    </w:p>
    <w:p>
      <w:pPr>
        <w:rPr>
          <w:rFonts w:hint="eastAsia"/>
          <w:lang w:eastAsia="zh-CN"/>
        </w:rPr>
      </w:pPr>
      <w:r>
        <w:rPr>
          <w:rFonts w:hint="eastAsia"/>
          <w:lang w:eastAsia="zh-CN"/>
        </w:rPr>
        <w:t xml:space="preserve">    </w:t>
      </w:r>
      <w:bookmarkStart w:id="0" w:name="_GoBack"/>
      <w:bookmarkEnd w:id="0"/>
      <w:r>
        <w:rPr>
          <w:rFonts w:hint="eastAsia"/>
        </w:rPr>
        <w:t>贵州某米业公司与邮储银行黔南州分行的合作案例，生动展现了订单融资与电商平台联动模式在农业产业链中的强大生命力。这一模式不仅有效解决了中小微企业的融资难题，更推动了农业产业的数字化转型与乡村振兴战略的实施。未来，随着技术创新与政策完善的持续推进，该模式有望在更多领域实现复制推广，为实体经济高质量发展注入新的活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新細明體">
    <w:altName w:val="PMingLiU"/>
    <w:panose1 w:val="02020500000000000000"/>
    <w:charset w:val="86"/>
    <w:family w:val="roman"/>
    <w:pitch w:val="default"/>
    <w:sig w:usb0="A00002FF" w:usb1="28CFFCFA" w:usb2="00000016" w:usb3="00000000" w:csb0="00100001" w:csb1="00000000"/>
  </w:font>
  <w:font w:name="Wingdings">
    <w:altName w:val="Wingdings"/>
    <w:panose1 w:val="05000000000000000000"/>
    <w:charset w:val="00"/>
    <w:family w:val="auto"/>
    <w:pitch w:val="default"/>
    <w:sig w:usb0="00000000" w:usb1="10000000" w:usb2="00000000" w:usb3="00000000" w:csb0="80000000" w:csb1="00000000"/>
  </w:font>
  <w:font w:name="Arial">
    <w:altName w:val="Arial"/>
    <w:panose1 w:val="020B0604020202020204"/>
    <w:charset w:val="00"/>
    <w:family w:val="swiss"/>
    <w:pitch w:val="default"/>
    <w:sig w:usb0="E0002AFF" w:usb1="C0007843" w:usb2="00000009" w:usb3="00000000" w:csb0="000001FF" w:csb1="00000000"/>
  </w:font>
  <w:font w:name="Courier New">
    <w:altName w:val="Courier New"/>
    <w:panose1 w:val="02070309020205020404"/>
    <w:charset w:val="00"/>
    <w:family w:val="modern"/>
    <w:pitch w:val="default"/>
    <w:sig w:usb0="E0002AFF" w:usb1="C0007843" w:usb2="00000009" w:usb3="00000000" w:csb0="000001FF" w:csb1="00000000"/>
  </w:font>
  <w:font w:name="細明體">
    <w:altName w:val="MingLiU"/>
    <w:panose1 w:val="02020509000000000000"/>
    <w:charset w:val="00"/>
    <w:family w:val="modern"/>
    <w:pitch w:val="default"/>
    <w:sig w:usb0="A00002FF" w:usb1="28CFFCFA" w:usb2="00000016" w:usb3="00000000" w:csb0="00100001"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TW"/>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新細明體"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2025-06-11T09:48:36Z</dcterms:created>
  <dc:creator>iPad</dc:creator>
  <cp:lastModifiedBy>iPad</cp:lastModifiedBy>
  <dcterms:modified xsi:type="dcterms:W3CDTF">2025-06-11T09:51:20Z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2052-12.9.1</vt:lpwstr>
  </property>
  <property fmtid="{D5CDD505-2E9C-101B-9397-08002B2CF9AE}" pid="3" name="ICV">
    <vt:lpwstr>6344DB6BE9E9FD5A74E0486863A9110E_31</vt:lpwstr>
  </property>
</Properties>
</file>