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F69973E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ascii="Segoe UI" w:hAnsi="Segoe UI" w:eastAsia="Segoe UI" w:cs="Segoe UI"/>
          <w:i w:val="0"/>
          <w:iCs w:val="0"/>
          <w:caps w:val="0"/>
          <w:color w:val="1B1C21"/>
          <w:spacing w:val="5"/>
          <w:sz w:val="24"/>
          <w:szCs w:val="15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1B1C21"/>
          <w:spacing w:val="5"/>
          <w:sz w:val="24"/>
          <w:szCs w:val="15"/>
          <w:shd w:val="clear" w:fill="FFFFFF"/>
        </w:rPr>
        <w:t>海尔供应链金融的创新实践与产业协同启示</w:t>
      </w:r>
    </w:p>
    <w:p w14:paraId="5105628E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ind w:left="0" w:firstLine="0"/>
        <w:jc w:val="left"/>
        <w:rPr>
          <w:rFonts w:hint="default" w:ascii="Segoe UI" w:hAnsi="Segoe UI" w:eastAsia="Segoe UI" w:cs="Segoe UI"/>
          <w:i w:val="0"/>
          <w:iCs w:val="0"/>
          <w:caps w:val="0"/>
          <w:color w:val="1B1C21"/>
          <w:spacing w:val="5"/>
          <w:sz w:val="24"/>
          <w:szCs w:val="15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1B1C21"/>
          <w:spacing w:val="5"/>
          <w:sz w:val="24"/>
          <w:szCs w:val="15"/>
          <w:shd w:val="clear" w:fill="FFFFFF"/>
        </w:rPr>
        <w:t>一、研究背景</w:t>
      </w:r>
      <w:r>
        <w:rPr>
          <w:rFonts w:hint="default" w:ascii="Segoe UI" w:hAnsi="Segoe UI" w:eastAsia="Segoe UI" w:cs="Segoe UI"/>
          <w:i w:val="0"/>
          <w:iCs w:val="0"/>
          <w:caps w:val="0"/>
          <w:color w:val="1B1C21"/>
          <w:spacing w:val="5"/>
          <w:sz w:val="24"/>
          <w:szCs w:val="15"/>
          <w:shd w:val="clear" w:fill="FFFFFF"/>
        </w:rPr>
        <w:br w:type="textWrapping"/>
      </w:r>
      <w:r>
        <w:rPr>
          <w:rFonts w:hint="default" w:ascii="Segoe UI" w:hAnsi="Segoe UI" w:eastAsia="Segoe UI" w:cs="Segoe UI"/>
          <w:i w:val="0"/>
          <w:iCs w:val="0"/>
          <w:caps w:val="0"/>
          <w:color w:val="1B1C21"/>
          <w:spacing w:val="5"/>
          <w:sz w:val="24"/>
          <w:szCs w:val="15"/>
          <w:shd w:val="clear" w:fill="FFFFFF"/>
        </w:rPr>
        <w:t>在全球产业链重构与数字化转型交织的背景下，制造业龙头企业正通过供应链金融探索产融结合新路径。海尔集团依托四十年家电制造积淀，构建起国内首个基于实体产业的开放式供应链金融平台，将生产数据转化为信用资产，重塑产业资金流向。这种以核心企业为枢纽、数据驱动的产融协同模式，为破解制造业"高负债、低流转"难题提供了创新样本。</w:t>
      </w:r>
    </w:p>
    <w:p w14:paraId="6E9CD3CE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ind w:left="0" w:firstLine="0"/>
        <w:jc w:val="left"/>
        <w:rPr>
          <w:rFonts w:hint="default" w:ascii="Segoe UI" w:hAnsi="Segoe UI" w:eastAsia="Segoe UI" w:cs="Segoe UI"/>
          <w:i w:val="0"/>
          <w:iCs w:val="0"/>
          <w:caps w:val="0"/>
          <w:color w:val="1B1C21"/>
          <w:spacing w:val="5"/>
          <w:sz w:val="24"/>
          <w:szCs w:val="15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1B1C21"/>
          <w:spacing w:val="5"/>
          <w:sz w:val="24"/>
          <w:szCs w:val="15"/>
          <w:shd w:val="clear" w:fill="FFFFFF"/>
        </w:rPr>
        <w:t>二、产业生态的金融化改造</w:t>
      </w:r>
      <w:r>
        <w:rPr>
          <w:rFonts w:hint="default" w:ascii="Segoe UI" w:hAnsi="Segoe UI" w:eastAsia="Segoe UI" w:cs="Segoe UI"/>
          <w:i w:val="0"/>
          <w:iCs w:val="0"/>
          <w:caps w:val="0"/>
          <w:color w:val="1B1C21"/>
          <w:spacing w:val="5"/>
          <w:sz w:val="24"/>
          <w:szCs w:val="15"/>
          <w:shd w:val="clear" w:fill="FFFFFF"/>
        </w:rPr>
        <w:br w:type="textWrapping"/>
      </w:r>
      <w:r>
        <w:rPr>
          <w:rFonts w:hint="default" w:ascii="Segoe UI" w:hAnsi="Segoe UI" w:eastAsia="Segoe UI" w:cs="Segoe UI"/>
          <w:i w:val="0"/>
          <w:iCs w:val="0"/>
          <w:caps w:val="0"/>
          <w:color w:val="1B1C21"/>
          <w:spacing w:val="5"/>
          <w:sz w:val="24"/>
          <w:szCs w:val="15"/>
          <w:shd w:val="clear" w:fill="FFFFFF"/>
        </w:rPr>
        <w:t>海尔通过"1+N+X"战略打造产业金融生态圈：以卡奥斯工业互联网平台为数字底座，连接超8000家供应商、12万家销售网点及3.2万家服务网点。在洗衣机产业链中，从智利铜矿采购、江苏电机生产到浙江注塑成型，每个环节的订单流、物流、资金流实现三流合一。借助IoT技术，平台可实时监测供应商生产设备状态、经销商库存周转率等183项产业指标，为金融服务提供动态信用评估依据。某钣金加工企业凭借设备开机率&gt;95%、订单准时交付率100%的数据表现，获得平台授予的"智能产线升级专项贷"。</w:t>
      </w:r>
    </w:p>
    <w:p w14:paraId="36F49347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ind w:left="0" w:firstLine="0"/>
        <w:jc w:val="left"/>
        <w:rPr>
          <w:rFonts w:hint="default" w:ascii="Segoe UI" w:hAnsi="Segoe UI" w:eastAsia="Segoe UI" w:cs="Segoe UI"/>
          <w:i w:val="0"/>
          <w:iCs w:val="0"/>
          <w:caps w:val="0"/>
          <w:color w:val="1B1C21"/>
          <w:spacing w:val="5"/>
          <w:sz w:val="24"/>
          <w:szCs w:val="15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1B1C21"/>
          <w:spacing w:val="5"/>
          <w:sz w:val="24"/>
          <w:szCs w:val="15"/>
          <w:shd w:val="clear" w:fill="FFFFFF"/>
        </w:rPr>
        <w:t>三、差异化产融服务矩阵</w:t>
      </w:r>
      <w:r>
        <w:rPr>
          <w:rFonts w:hint="default" w:ascii="Segoe UI" w:hAnsi="Segoe UI" w:eastAsia="Segoe UI" w:cs="Segoe UI"/>
          <w:i w:val="0"/>
          <w:iCs w:val="0"/>
          <w:caps w:val="0"/>
          <w:color w:val="1B1C21"/>
          <w:spacing w:val="5"/>
          <w:sz w:val="24"/>
          <w:szCs w:val="15"/>
          <w:shd w:val="clear" w:fill="FFFFFF"/>
        </w:rPr>
        <w:br w:type="textWrapping"/>
      </w:r>
      <w:r>
        <w:rPr>
          <w:rFonts w:hint="default" w:ascii="Segoe UI" w:hAnsi="Segoe UI" w:eastAsia="Segoe UI" w:cs="Segoe UI"/>
          <w:i w:val="0"/>
          <w:iCs w:val="0"/>
          <w:caps w:val="0"/>
          <w:color w:val="1B1C21"/>
          <w:spacing w:val="5"/>
          <w:sz w:val="24"/>
          <w:szCs w:val="15"/>
          <w:shd w:val="clear" w:fill="FFFFFF"/>
        </w:rPr>
        <w:t>（1）订单穿透式融资</w:t>
      </w:r>
      <w:r>
        <w:rPr>
          <w:rFonts w:hint="default" w:ascii="Segoe UI" w:hAnsi="Segoe UI" w:eastAsia="Segoe UI" w:cs="Segoe UI"/>
          <w:i w:val="0"/>
          <w:iCs w:val="0"/>
          <w:caps w:val="0"/>
          <w:color w:val="1B1C21"/>
          <w:spacing w:val="5"/>
          <w:sz w:val="24"/>
          <w:szCs w:val="15"/>
          <w:shd w:val="clear" w:fill="FFFFFF"/>
        </w:rPr>
        <w:br w:type="textWrapping"/>
      </w:r>
      <w:r>
        <w:rPr>
          <w:rFonts w:hint="default" w:ascii="Segoe UI" w:hAnsi="Segoe UI" w:eastAsia="Segoe UI" w:cs="Segoe UI"/>
          <w:i w:val="0"/>
          <w:iCs w:val="0"/>
          <w:caps w:val="0"/>
          <w:color w:val="1B1C21"/>
          <w:spacing w:val="5"/>
          <w:sz w:val="24"/>
          <w:szCs w:val="15"/>
          <w:shd w:val="clear" w:fill="FFFFFF"/>
        </w:rPr>
        <w:t>针对核心供应商推行"订单质押+动态授信"模式。某精密模具企业承接海尔海外项目订单后，平台根据订单金额、技术复杂度及历史合作数据，分阶段释放融资：预付款阶段提供70%信用额度支持原材料采购，验收合格后自动转为应收账款融资。通过区块链确权技术，将传统180天账期缩短至45天，年化资金成本降低4.2个百分点。</w:t>
      </w:r>
    </w:p>
    <w:p w14:paraId="7BA02FCF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ind w:left="0" w:firstLine="0"/>
        <w:jc w:val="left"/>
        <w:rPr>
          <w:rFonts w:hint="default" w:ascii="Segoe UI" w:hAnsi="Segoe UI" w:eastAsia="Segoe UI" w:cs="Segoe UI"/>
          <w:i w:val="0"/>
          <w:iCs w:val="0"/>
          <w:caps w:val="0"/>
          <w:color w:val="1B1C21"/>
          <w:spacing w:val="5"/>
          <w:sz w:val="24"/>
          <w:szCs w:val="15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1B1C21"/>
          <w:spacing w:val="5"/>
          <w:sz w:val="24"/>
          <w:szCs w:val="15"/>
          <w:shd w:val="clear" w:fill="FFFFFF"/>
        </w:rPr>
        <w:t>（2）渠道智能分账体系</w:t>
      </w:r>
      <w:r>
        <w:rPr>
          <w:rFonts w:hint="default" w:ascii="Segoe UI" w:hAnsi="Segoe UI" w:eastAsia="Segoe UI" w:cs="Segoe UI"/>
          <w:i w:val="0"/>
          <w:iCs w:val="0"/>
          <w:caps w:val="0"/>
          <w:color w:val="1B1C21"/>
          <w:spacing w:val="5"/>
          <w:sz w:val="24"/>
          <w:szCs w:val="15"/>
          <w:shd w:val="clear" w:fill="FFFFFF"/>
        </w:rPr>
        <w:br w:type="textWrapping"/>
      </w:r>
      <w:r>
        <w:rPr>
          <w:rFonts w:hint="default" w:ascii="Segoe UI" w:hAnsi="Segoe UI" w:eastAsia="Segoe UI" w:cs="Segoe UI"/>
          <w:i w:val="0"/>
          <w:iCs w:val="0"/>
          <w:caps w:val="0"/>
          <w:color w:val="1B1C21"/>
          <w:spacing w:val="5"/>
          <w:sz w:val="24"/>
          <w:szCs w:val="15"/>
          <w:shd w:val="clear" w:fill="FFFFFF"/>
        </w:rPr>
        <w:t>为经销商网络设计"销售数据-资金分配"联动模型。山东某县级代理商旺季备货时，平台根据其历史销售曲线、竞品动态及区域消费特征，智能生成300万元差异化授信方案：其中60%用于海尔品牌产品采购，40%配套美的、海信等联采商品，同步建立"T+30"柔性还款机制。该模式使单品铺货率提升27%，坏账率控制在0.15%以下。</w:t>
      </w:r>
    </w:p>
    <w:p w14:paraId="08624CF4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ind w:left="0" w:firstLine="0"/>
        <w:jc w:val="left"/>
        <w:rPr>
          <w:rFonts w:hint="default" w:ascii="Segoe UI" w:hAnsi="Segoe UI" w:eastAsia="Segoe UI" w:cs="Segoe UI"/>
          <w:i w:val="0"/>
          <w:iCs w:val="0"/>
          <w:caps w:val="0"/>
          <w:color w:val="1B1C21"/>
          <w:spacing w:val="5"/>
          <w:sz w:val="24"/>
          <w:szCs w:val="15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1B1C21"/>
          <w:spacing w:val="5"/>
          <w:sz w:val="24"/>
          <w:szCs w:val="15"/>
          <w:shd w:val="clear" w:fill="FFFFFF"/>
        </w:rPr>
        <w:t>四、产业风控双循环机制</w:t>
      </w:r>
      <w:r>
        <w:rPr>
          <w:rFonts w:hint="default" w:ascii="Segoe UI" w:hAnsi="Segoe UI" w:eastAsia="Segoe UI" w:cs="Segoe UI"/>
          <w:i w:val="0"/>
          <w:iCs w:val="0"/>
          <w:caps w:val="0"/>
          <w:color w:val="1B1C21"/>
          <w:spacing w:val="5"/>
          <w:sz w:val="24"/>
          <w:szCs w:val="15"/>
          <w:shd w:val="clear" w:fill="FFFFFF"/>
        </w:rPr>
        <w:br w:type="textWrapping"/>
      </w:r>
      <w:r>
        <w:rPr>
          <w:rFonts w:hint="default" w:ascii="Segoe UI" w:hAnsi="Segoe UI" w:eastAsia="Segoe UI" w:cs="Segoe UI"/>
          <w:i w:val="0"/>
          <w:iCs w:val="0"/>
          <w:caps w:val="0"/>
          <w:color w:val="1B1C21"/>
          <w:spacing w:val="5"/>
          <w:sz w:val="24"/>
          <w:szCs w:val="15"/>
          <w:shd w:val="clear" w:fill="FFFFFF"/>
        </w:rPr>
        <w:t>构建"质量链-资金链"双向约束体系：</w:t>
      </w:r>
    </w:p>
    <w:p w14:paraId="73982668"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720" w:right="0" w:hanging="360"/>
        <w:jc w:val="left"/>
        <w:rPr>
          <w:sz w:val="24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1B1C21"/>
          <w:sz w:val="24"/>
          <w:shd w:val="clear" w:fill="FFFFFF"/>
        </w:rPr>
        <w:t>供应商端：将零部件不良率（PPM）、研发协同响应速度等12项制造指标纳入授信模型。当某电路板厂商连续3周不良率超标，系统自动冻结20%授信额度，直至完成质量整改。</w:t>
      </w:r>
    </w:p>
    <w:p w14:paraId="3D925EE0"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720" w:right="0" w:hanging="360"/>
        <w:jc w:val="left"/>
        <w:rPr>
          <w:sz w:val="24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1B1C21"/>
          <w:sz w:val="24"/>
          <w:shd w:val="clear" w:fill="FFFFFF"/>
        </w:rPr>
        <w:t>经销端：建立"库存健康度-资金安全性"动态平衡机制。某区域仓库滞销机型占比超过阈值时，触发智能调拨指令，同时调整该经销商融资利率浮动系数。</w:t>
      </w:r>
      <w:r>
        <w:rPr>
          <w:rFonts w:hint="default" w:ascii="Segoe UI" w:hAnsi="Segoe UI" w:eastAsia="Segoe UI" w:cs="Segoe UI"/>
          <w:i w:val="0"/>
          <w:iCs w:val="0"/>
          <w:caps w:val="0"/>
          <w:color w:val="1B1C21"/>
          <w:sz w:val="24"/>
          <w:shd w:val="clear" w:fill="FFFFFF"/>
        </w:rPr>
        <w:br w:type="textWrapping"/>
      </w:r>
      <w:r>
        <w:rPr>
          <w:rFonts w:hint="default" w:ascii="Segoe UI" w:hAnsi="Segoe UI" w:eastAsia="Segoe UI" w:cs="Segoe UI"/>
          <w:i w:val="0"/>
          <w:iCs w:val="0"/>
          <w:caps w:val="0"/>
          <w:color w:val="1B1C21"/>
          <w:sz w:val="24"/>
          <w:shd w:val="clear" w:fill="FFFFFF"/>
        </w:rPr>
        <w:t>通过产业数据与金融指标的交叉验证，实现风险识别准确率提升至92.7%，逾期率较行业均值低68%。</w:t>
      </w:r>
    </w:p>
    <w:p w14:paraId="33631BAB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ind w:left="0" w:firstLine="0"/>
        <w:jc w:val="left"/>
        <w:rPr>
          <w:rFonts w:hint="default" w:ascii="Segoe UI" w:hAnsi="Segoe UI" w:eastAsia="Segoe UI" w:cs="Segoe UI"/>
          <w:i w:val="0"/>
          <w:iCs w:val="0"/>
          <w:caps w:val="0"/>
          <w:color w:val="1B1C21"/>
          <w:spacing w:val="5"/>
          <w:sz w:val="24"/>
          <w:szCs w:val="15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1B1C21"/>
          <w:spacing w:val="5"/>
          <w:sz w:val="24"/>
          <w:szCs w:val="15"/>
          <w:shd w:val="clear" w:fill="FFFFFF"/>
        </w:rPr>
        <w:t>五、生态价值重构效应</w:t>
      </w:r>
      <w:r>
        <w:rPr>
          <w:rFonts w:hint="default" w:ascii="Segoe UI" w:hAnsi="Segoe UI" w:eastAsia="Segoe UI" w:cs="Segoe UI"/>
          <w:i w:val="0"/>
          <w:iCs w:val="0"/>
          <w:caps w:val="0"/>
          <w:color w:val="1B1C21"/>
          <w:spacing w:val="5"/>
          <w:sz w:val="24"/>
          <w:szCs w:val="15"/>
          <w:shd w:val="clear" w:fill="FFFFFF"/>
        </w:rPr>
        <w:br w:type="textWrapping"/>
      </w:r>
      <w:r>
        <w:rPr>
          <w:rFonts w:hint="default" w:ascii="Segoe UI" w:hAnsi="Segoe UI" w:eastAsia="Segoe UI" w:cs="Segoe UI"/>
          <w:i w:val="0"/>
          <w:iCs w:val="0"/>
          <w:caps w:val="0"/>
          <w:color w:val="1B1C21"/>
          <w:spacing w:val="5"/>
          <w:sz w:val="24"/>
          <w:szCs w:val="15"/>
          <w:shd w:val="clear" w:fill="FFFFFF"/>
        </w:rPr>
        <w:t>（1）产业链条价值再造</w:t>
      </w:r>
      <w:r>
        <w:rPr>
          <w:rFonts w:hint="default" w:ascii="Segoe UI" w:hAnsi="Segoe UI" w:eastAsia="Segoe UI" w:cs="Segoe UI"/>
          <w:i w:val="0"/>
          <w:iCs w:val="0"/>
          <w:caps w:val="0"/>
          <w:color w:val="1B1C21"/>
          <w:spacing w:val="5"/>
          <w:sz w:val="24"/>
          <w:szCs w:val="15"/>
          <w:shd w:val="clear" w:fill="FFFFFF"/>
        </w:rPr>
        <w:br w:type="textWrapping"/>
      </w:r>
      <w:r>
        <w:rPr>
          <w:rFonts w:hint="default" w:ascii="Segoe UI" w:hAnsi="Segoe UI" w:eastAsia="Segoe UI" w:cs="Segoe UI"/>
          <w:i w:val="0"/>
          <w:iCs w:val="0"/>
          <w:caps w:val="0"/>
          <w:color w:val="1B1C21"/>
          <w:spacing w:val="5"/>
          <w:sz w:val="24"/>
          <w:szCs w:val="15"/>
          <w:shd w:val="clear" w:fill="FFFFFF"/>
        </w:rPr>
        <w:t>通过"资金流前置、信息流穿透"，带动上游供应商研发投入强度从3.1%提升至4.8%，下游经销商数字化工具使用率达79%。某制冷部件企业利用融资资金建设智能工厂，产能利用率提升35%，反向推动海尔新产品迭代周期缩短18天。</w:t>
      </w:r>
    </w:p>
    <w:p w14:paraId="4CB40243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ind w:left="0" w:firstLine="0"/>
        <w:jc w:val="left"/>
        <w:rPr>
          <w:rFonts w:hint="default" w:ascii="Segoe UI" w:hAnsi="Segoe UI" w:eastAsia="Segoe UI" w:cs="Segoe UI"/>
          <w:i w:val="0"/>
          <w:iCs w:val="0"/>
          <w:caps w:val="0"/>
          <w:color w:val="1B1C21"/>
          <w:spacing w:val="5"/>
          <w:sz w:val="24"/>
          <w:szCs w:val="15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1B1C21"/>
          <w:spacing w:val="5"/>
          <w:sz w:val="24"/>
          <w:szCs w:val="15"/>
          <w:shd w:val="clear" w:fill="FFFFFF"/>
        </w:rPr>
        <w:t>（2）产业金融标准输出</w:t>
      </w:r>
      <w:r>
        <w:rPr>
          <w:rFonts w:hint="default" w:ascii="Segoe UI" w:hAnsi="Segoe UI" w:eastAsia="Segoe UI" w:cs="Segoe UI"/>
          <w:i w:val="0"/>
          <w:iCs w:val="0"/>
          <w:caps w:val="0"/>
          <w:color w:val="1B1C21"/>
          <w:spacing w:val="5"/>
          <w:sz w:val="24"/>
          <w:szCs w:val="15"/>
          <w:shd w:val="clear" w:fill="FFFFFF"/>
        </w:rPr>
        <w:br w:type="textWrapping"/>
      </w:r>
      <w:r>
        <w:rPr>
          <w:rFonts w:hint="default" w:ascii="Segoe UI" w:hAnsi="Segoe UI" w:eastAsia="Segoe UI" w:cs="Segoe UI"/>
          <w:i w:val="0"/>
          <w:iCs w:val="0"/>
          <w:caps w:val="0"/>
          <w:color w:val="1B1C21"/>
          <w:spacing w:val="5"/>
          <w:sz w:val="24"/>
          <w:szCs w:val="15"/>
          <w:shd w:val="clear" w:fill="FFFFFF"/>
        </w:rPr>
        <w:t>形成可复用的"产业数据信用化"方法论：将生产设备数据转化为42个信用评估标签，构建行业首个家电产业信用指数。该体系已向汽车、农业等6大行业迁移，带动上下游企业融资成本平均下降2.8个百分点。</w:t>
      </w:r>
    </w:p>
    <w:p w14:paraId="5AE1D601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ind w:left="0" w:firstLine="0"/>
        <w:jc w:val="left"/>
        <w:rPr>
          <w:rFonts w:hint="default" w:ascii="Segoe UI" w:hAnsi="Segoe UI" w:eastAsia="Segoe UI" w:cs="Segoe UI"/>
          <w:i w:val="0"/>
          <w:iCs w:val="0"/>
          <w:caps w:val="0"/>
          <w:color w:val="1B1C21"/>
          <w:spacing w:val="5"/>
          <w:sz w:val="24"/>
          <w:szCs w:val="15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1B1C21"/>
          <w:spacing w:val="5"/>
          <w:sz w:val="24"/>
          <w:szCs w:val="15"/>
          <w:shd w:val="clear" w:fill="FFFFFF"/>
        </w:rPr>
        <w:t>六、发展瓶颈与突破方向</w:t>
      </w:r>
      <w:r>
        <w:rPr>
          <w:rFonts w:hint="default" w:ascii="Segoe UI" w:hAnsi="Segoe UI" w:eastAsia="Segoe UI" w:cs="Segoe UI"/>
          <w:i w:val="0"/>
          <w:iCs w:val="0"/>
          <w:caps w:val="0"/>
          <w:color w:val="1B1C21"/>
          <w:spacing w:val="5"/>
          <w:sz w:val="24"/>
          <w:szCs w:val="15"/>
          <w:shd w:val="clear" w:fill="FFFFFF"/>
        </w:rPr>
        <w:br w:type="textWrapping"/>
      </w:r>
      <w:r>
        <w:rPr>
          <w:rFonts w:hint="default" w:ascii="Segoe UI" w:hAnsi="Segoe UI" w:eastAsia="Segoe UI" w:cs="Segoe UI"/>
          <w:i w:val="0"/>
          <w:iCs w:val="0"/>
          <w:caps w:val="0"/>
          <w:color w:val="1B1C21"/>
          <w:spacing w:val="5"/>
          <w:sz w:val="24"/>
          <w:szCs w:val="15"/>
          <w:shd w:val="clear" w:fill="FFFFFF"/>
        </w:rPr>
        <w:t>当前面临两大核心挑战：技术层面，多源异构数据（工业物联网数据、海关报关数据、税务票据等）的标准化处理仍需突破；监管层面，跨境金融涉及的汇率波动、各国金融牌照差异等问题亟待解决。对此，海尔正推进"区块链+隐私计算"的数据治理框架，并试点"监管沙盒"机制，在新加坡、马来西亚等地开展合规架构创新。</w:t>
      </w:r>
    </w:p>
    <w:p w14:paraId="11D66D47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ind w:left="0" w:firstLine="0"/>
        <w:jc w:val="left"/>
        <w:rPr>
          <w:rFonts w:hint="default" w:ascii="Segoe UI" w:hAnsi="Segoe UI" w:eastAsia="Segoe UI" w:cs="Segoe UI"/>
          <w:i w:val="0"/>
          <w:iCs w:val="0"/>
          <w:caps w:val="0"/>
          <w:color w:val="1B1C21"/>
          <w:spacing w:val="5"/>
          <w:sz w:val="24"/>
          <w:szCs w:val="15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1B1C21"/>
          <w:spacing w:val="5"/>
          <w:sz w:val="24"/>
          <w:szCs w:val="15"/>
          <w:shd w:val="clear" w:fill="FFFFFF"/>
        </w:rPr>
        <w:t>七、行业启示录</w:t>
      </w:r>
      <w:r>
        <w:rPr>
          <w:rFonts w:hint="default" w:ascii="Segoe UI" w:hAnsi="Segoe UI" w:eastAsia="Segoe UI" w:cs="Segoe UI"/>
          <w:i w:val="0"/>
          <w:iCs w:val="0"/>
          <w:caps w:val="0"/>
          <w:color w:val="1B1C21"/>
          <w:spacing w:val="5"/>
          <w:sz w:val="24"/>
          <w:szCs w:val="15"/>
          <w:shd w:val="clear" w:fill="FFFFFF"/>
        </w:rPr>
        <w:br w:type="textWrapping"/>
      </w:r>
      <w:r>
        <w:rPr>
          <w:rFonts w:hint="default" w:ascii="Segoe UI" w:hAnsi="Segoe UI" w:eastAsia="Segoe UI" w:cs="Segoe UI"/>
          <w:i w:val="0"/>
          <w:iCs w:val="0"/>
          <w:caps w:val="0"/>
          <w:color w:val="1B1C21"/>
          <w:spacing w:val="5"/>
          <w:sz w:val="24"/>
          <w:szCs w:val="15"/>
          <w:shd w:val="clear" w:fill="FFFFFF"/>
        </w:rPr>
        <w:t>海尔的实践揭示了新基建时代的产融结合范式：当制造网络进化为数字化基础设施，其承载的不仅是商品流动，更是信用流动与资金流动。这种模式为产业互联网发展提供三大启示：①场景深度决定金融价值厚度，需扎根真实交易链条；②数据治理能力是核心竞争力，需构建业务-风控一体化的数据闭环；③生态化思维破局零和博弈，通过利益共享机制实现多方共赢。随着物流要素全面数字化，一个"以制造带流通、以流通促金融、以金融活生态"的产业新格局正在加速形成。</w:t>
      </w:r>
    </w:p>
    <w:p w14:paraId="7E8D0D0C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7CFD68F"/>
    <w:multiLevelType w:val="multilevel"/>
    <w:tmpl w:val="77CFD68F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/>
        <w:sz w:val="20"/>
      </w:rPr>
    </w:lvl>
    <w:lvl w:ilvl="1" w:tentative="0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hint="default" w:ascii="Symbol" w:hAnsi="Symbol" w:cs="Symbol"/>
        <w:sz w:val="20"/>
      </w:rPr>
    </w:lvl>
    <w:lvl w:ilvl="2" w:tentative="0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hint="default" w:ascii="Symbol" w:hAnsi="Symbol" w:cs="Symbol"/>
        <w:sz w:val="20"/>
      </w:rPr>
    </w:lvl>
    <w:lvl w:ilvl="3" w:tentative="0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hint="default" w:ascii="Symbol" w:hAnsi="Symbol" w:cs="Symbol"/>
        <w:sz w:val="20"/>
      </w:rPr>
    </w:lvl>
    <w:lvl w:ilvl="4" w:tentative="0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hint="default" w:ascii="Symbol" w:hAnsi="Symbol" w:cs="Symbol"/>
        <w:sz w:val="20"/>
      </w:rPr>
    </w:lvl>
    <w:lvl w:ilvl="5" w:tentative="0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hint="default" w:ascii="Symbol" w:hAnsi="Symbol" w:cs="Symbol"/>
        <w:sz w:val="20"/>
      </w:rPr>
    </w:lvl>
    <w:lvl w:ilvl="6" w:tentative="0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hint="default" w:ascii="Symbol" w:hAnsi="Symbol" w:cs="Symbol"/>
        <w:sz w:val="20"/>
      </w:rPr>
    </w:lvl>
    <w:lvl w:ilvl="7" w:tentative="0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hint="default" w:ascii="Symbol" w:hAnsi="Symbol" w:cs="Symbol"/>
        <w:sz w:val="20"/>
      </w:rPr>
    </w:lvl>
    <w:lvl w:ilvl="8" w:tentative="0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hint="default" w:ascii="Symbol" w:hAnsi="Symbol" w:cs="Symbol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F487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2025-06-12T12:16:14Z</dcterms:created>
  <dc:creator>kanan</dc:creator>
  <cp:lastModifiedBy>Steve·Rogers</cp:lastModifiedBy>
  <dcterms:modified xsi:type="dcterms:W3CDTF">2025-06-12T12:16:21Z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eyJoZGlkIjoiYzE3OTVhNmJhYzQ5Mjc1YjI0YTE4MjVlZTcxMTY4YmQiLCJ1c2VySWQiOiI0Njg3ODIyNzMifQ==</vt:lpwstr>
  </property>
  <property fmtid="{D5CDD505-2E9C-101B-9397-08002B2CF9AE}" pid="4" name="ICV">
    <vt:lpwstr>A6086F340F89490493C68B3180CC608B_12</vt:lpwstr>
  </property>
</Properties>
</file>