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093F33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0"/>
        <w:rPr>
          <w:rFonts w:ascii="Segoe UI" w:eastAsia="宋体" w:hAnsi="Segoe UI" w:cs="Segoe UI"/>
          <w:b/>
          <w:bCs/>
          <w:color w:val="404040"/>
          <w:kern w:val="36"/>
          <w:sz w:val="41"/>
          <w:szCs w:val="41"/>
        </w:rPr>
      </w:pPr>
      <w:r w:rsidRPr="00FF7B72">
        <w:rPr>
          <w:rFonts w:ascii="Segoe UI" w:eastAsia="宋体" w:hAnsi="Segoe UI" w:cs="Segoe UI"/>
          <w:b/>
          <w:bCs/>
          <w:color w:val="404040"/>
          <w:kern w:val="36"/>
          <w:sz w:val="41"/>
          <w:szCs w:val="41"/>
        </w:rPr>
        <w:t>《物流金融》读书笔记四：风险管理与未来趋势</w:t>
      </w:r>
    </w:p>
    <w:p w14:paraId="15CA8C9A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风险图谱与管控策略</w:t>
      </w:r>
    </w:p>
    <w:p w14:paraId="1680BA34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1.1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物流金融的五大风险类型</w:t>
      </w:r>
    </w:p>
    <w:p w14:paraId="63741097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物流金融在运作过程中面临复杂的风险矩阵，主要可归纳为以下五类：</w:t>
      </w:r>
    </w:p>
    <w:p w14:paraId="76AD576E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i/>
          <w:iCs/>
          <w:color w:val="404040"/>
          <w:kern w:val="0"/>
          <w:sz w:val="24"/>
          <w:szCs w:val="24"/>
        </w:rPr>
        <w:t>表：物流金融核心风险及典型案例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"/>
        <w:gridCol w:w="2270"/>
        <w:gridCol w:w="2282"/>
        <w:gridCol w:w="2790"/>
      </w:tblGrid>
      <w:tr w:rsidR="001C5148" w:rsidRPr="00FF7B72" w14:paraId="77CFABC7" w14:textId="77777777" w:rsidTr="001B5DB8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4" w:space="0" w:color="BBBBBB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3000A59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404040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color w:val="404040"/>
                <w:kern w:val="0"/>
                <w:sz w:val="23"/>
                <w:szCs w:val="23"/>
              </w:rPr>
              <w:t>风险类型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BBBBB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6399EE0B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404040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color w:val="404040"/>
                <w:kern w:val="0"/>
                <w:sz w:val="23"/>
                <w:szCs w:val="23"/>
              </w:rPr>
              <w:t>形成机制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BBBBB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34E03A0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404040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color w:val="404040"/>
                <w:kern w:val="0"/>
                <w:sz w:val="23"/>
                <w:szCs w:val="23"/>
              </w:rPr>
              <w:t>典型案例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BBBBBB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02EDCC9F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404040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color w:val="404040"/>
                <w:kern w:val="0"/>
                <w:sz w:val="23"/>
                <w:szCs w:val="23"/>
              </w:rPr>
              <w:t>后果</w:t>
            </w:r>
          </w:p>
        </w:tc>
      </w:tr>
      <w:tr w:rsidR="001C5148" w:rsidRPr="00FF7B72" w14:paraId="588D9427" w14:textId="77777777" w:rsidTr="001B5DB8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4FDDE17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市场风险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A3DFF62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商品价格波动导致质押物贬值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77B2326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钢材价格单月下跌15%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A004CC2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质押率突破安全阈值，银行要求补货</w:t>
            </w:r>
          </w:p>
        </w:tc>
      </w:tr>
      <w:tr w:rsidR="001C5148" w:rsidRPr="00FF7B72" w14:paraId="2FA9EF36" w14:textId="77777777" w:rsidTr="001B5DB8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4A7988AA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信用风险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37CBC33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融资方经营恶化或恶意欺诈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34CAD38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上海</w:t>
            </w:r>
            <w:proofErr w:type="gramStart"/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钢贸案重复</w:t>
            </w:r>
            <w:proofErr w:type="gramEnd"/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质押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9E1C21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坏账100亿美元，行业信用崩塌</w:t>
            </w:r>
            <w:r w:rsidRPr="00FF7B72">
              <w:rPr>
                <w:rFonts w:ascii="宋体" w:eastAsia="宋体" w:hAnsi="宋体" w:cs="宋体"/>
                <w:color w:val="404040"/>
                <w:kern w:val="0"/>
                <w:sz w:val="18"/>
                <w:szCs w:val="18"/>
                <w:shd w:val="clear" w:color="auto" w:fill="E5E5E5"/>
              </w:rPr>
              <w:t>2</w:t>
            </w:r>
          </w:p>
        </w:tc>
      </w:tr>
      <w:tr w:rsidR="001C5148" w:rsidRPr="00FF7B72" w14:paraId="0FDE0608" w14:textId="77777777" w:rsidTr="001B5DB8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254AC090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操作风险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FCA14E7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监管失误或系统故障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4690AB6C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某仓库管理员伪造出库单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70D2F58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价值3000万元铜材被盗卖</w:t>
            </w:r>
          </w:p>
        </w:tc>
      </w:tr>
      <w:tr w:rsidR="001C5148" w:rsidRPr="00FF7B72" w14:paraId="55673115" w14:textId="77777777" w:rsidTr="001B5DB8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539A2A2F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流动性风险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C513FA3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资产无法及时变现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34034601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普洛斯2008年基金募集失败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7CA15C84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被迫出售中国区业务</w:t>
            </w:r>
            <w:r w:rsidRPr="00FF7B72">
              <w:rPr>
                <w:rFonts w:ascii="宋体" w:eastAsia="宋体" w:hAnsi="宋体" w:cs="宋体"/>
                <w:color w:val="404040"/>
                <w:kern w:val="0"/>
                <w:sz w:val="18"/>
                <w:szCs w:val="18"/>
                <w:shd w:val="clear" w:color="auto" w:fill="E5E5E5"/>
              </w:rPr>
              <w:t>2</w:t>
            </w:r>
          </w:p>
        </w:tc>
      </w:tr>
      <w:tr w:rsidR="001C5148" w:rsidRPr="00FF7B72" w14:paraId="24D26965" w14:textId="77777777" w:rsidTr="001B5DB8"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14:paraId="72D2D9A7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b/>
                <w:bCs/>
                <w:kern w:val="0"/>
                <w:sz w:val="23"/>
                <w:szCs w:val="23"/>
              </w:rPr>
              <w:t>法律风险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1DF4D282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权属不清或条款漏洞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543C7C00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某公司用租赁设备质押融资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E5E5E5"/>
              <w:right w:val="nil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14:paraId="2F6DDD60" w14:textId="77777777" w:rsidR="001C5148" w:rsidRPr="00FF7B72" w:rsidRDefault="001C5148" w:rsidP="001B5DB8">
            <w:pPr>
              <w:widowControl/>
              <w:jc w:val="left"/>
              <w:rPr>
                <w:rFonts w:ascii="宋体" w:eastAsia="宋体" w:hAnsi="宋体" w:cs="宋体"/>
                <w:kern w:val="0"/>
                <w:sz w:val="23"/>
                <w:szCs w:val="23"/>
              </w:rPr>
            </w:pPr>
            <w:r w:rsidRPr="00FF7B72">
              <w:rPr>
                <w:rFonts w:ascii="宋体" w:eastAsia="宋体" w:hAnsi="宋体" w:cs="宋体"/>
                <w:kern w:val="0"/>
                <w:sz w:val="23"/>
                <w:szCs w:val="23"/>
              </w:rPr>
              <w:t>法律纠纷持续2年未解</w:t>
            </w:r>
          </w:p>
        </w:tc>
      </w:tr>
    </w:tbl>
    <w:p w14:paraId="3722000A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1.2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头部企业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的风控实践</w:t>
      </w:r>
      <w:proofErr w:type="gramEnd"/>
    </w:p>
    <w:p w14:paraId="2E6849E3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顺丰金融的三道防线模型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71E76387" w14:textId="77777777" w:rsidR="001C5148" w:rsidRPr="00FF7B72" w:rsidRDefault="001C5148" w:rsidP="001C5148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数据防线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：整合交易数据、工商信息、财务报表、物流轨迹、历史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账期五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大维度</w:t>
      </w:r>
    </w:p>
    <w:p w14:paraId="54E2189E" w14:textId="77777777" w:rsidR="001C5148" w:rsidRPr="00FF7B72" w:rsidRDefault="001C5148" w:rsidP="001C5148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预警防线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：设立价格波动阈值（如单日跌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触发预警）</w:t>
      </w:r>
    </w:p>
    <w:p w14:paraId="00D758DE" w14:textId="77777777" w:rsidR="001C5148" w:rsidRPr="00FF7B72" w:rsidRDefault="001C5148" w:rsidP="001C5148">
      <w:pPr>
        <w:widowControl/>
        <w:numPr>
          <w:ilvl w:val="0"/>
          <w:numId w:val="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lastRenderedPageBreak/>
        <w:t>贷后防线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：实时监控资金流向与经营指标，异常时冻结额度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6078EC9A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中海物流的三级管控体系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1A19B361" w14:textId="77777777" w:rsidR="001C5148" w:rsidRPr="00FF7B72" w:rsidRDefault="001C5148" w:rsidP="001C5148">
      <w:pPr>
        <w:widowControl/>
        <w:numPr>
          <w:ilvl w:val="0"/>
          <w:numId w:val="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总部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：统一授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信政策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与系统开发</w:t>
      </w:r>
    </w:p>
    <w:p w14:paraId="6703509A" w14:textId="77777777" w:rsidR="001C5148" w:rsidRPr="00FF7B72" w:rsidRDefault="001C5148" w:rsidP="001C5148">
      <w:pPr>
        <w:widowControl/>
        <w:numPr>
          <w:ilvl w:val="0"/>
          <w:numId w:val="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片区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：区域风险评估与应急处置</w:t>
      </w:r>
    </w:p>
    <w:p w14:paraId="0537FEEA" w14:textId="77777777" w:rsidR="001C5148" w:rsidRPr="00FF7B72" w:rsidRDefault="001C5148" w:rsidP="001C5148">
      <w:pPr>
        <w:widowControl/>
        <w:numPr>
          <w:ilvl w:val="0"/>
          <w:numId w:val="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口岸公司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：现场监管与信息收集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503AF7C0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该体系配合招商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迪辰信息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平台，使物流金融坏账率长期控制在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0.8%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以下。</w:t>
      </w:r>
    </w:p>
    <w:p w14:paraId="013F690E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未来发展的四大趋势</w:t>
      </w:r>
    </w:p>
    <w:p w14:paraId="78ADEB90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服务模式：从静态到动态</w:t>
      </w:r>
    </w:p>
    <w:p w14:paraId="4332FD55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物流金融服务正经历根本性转变：</w:t>
      </w:r>
    </w:p>
    <w:p w14:paraId="162D7B3A" w14:textId="77777777" w:rsidR="001C5148" w:rsidRPr="00FF7B72" w:rsidRDefault="001C5148" w:rsidP="001C5148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质押方式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：静态质押（货物质押后冻结）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 xml:space="preserve">→ 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动态质押（按价值阈值置换货物）</w:t>
      </w:r>
    </w:p>
    <w:p w14:paraId="69DD0F46" w14:textId="77777777" w:rsidR="001C5148" w:rsidRPr="00FF7B72" w:rsidRDefault="001C5148" w:rsidP="001C5148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客户类型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：流通贸易商（占比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 xml:space="preserve">→ 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生产制造商（增速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40%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3</w:t>
      </w:r>
    </w:p>
    <w:p w14:paraId="609FDAE7" w14:textId="77777777" w:rsidR="001C5148" w:rsidRPr="00FF7B72" w:rsidRDefault="001C5148" w:rsidP="001C5148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融资标的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：现货融资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 xml:space="preserve"> → 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订单融资（如菜鸟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入仓即贷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</w:p>
    <w:p w14:paraId="6F9DAE06" w14:textId="77777777" w:rsidR="001C5148" w:rsidRPr="00FF7B72" w:rsidRDefault="001C5148" w:rsidP="001C5148">
      <w:pPr>
        <w:widowControl/>
        <w:numPr>
          <w:ilvl w:val="0"/>
          <w:numId w:val="3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监管范围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：库内监管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 xml:space="preserve"> → 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库外监管（中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储系统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库外占比超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3</w:t>
      </w:r>
    </w:p>
    <w:p w14:paraId="0F2A21C8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这种转变使物流金融更贴合供应链实际，如汽车零部件企业可凭在途原材料融资，解决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采购付款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-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生产周期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-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销售回款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的资金错配问题。</w:t>
      </w:r>
    </w:p>
    <w:p w14:paraId="5E5EA409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技术融合：从信息化到智能化</w:t>
      </w:r>
    </w:p>
    <w:p w14:paraId="6FC7D7D1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新技术正重塑物流金融基础设施：</w:t>
      </w:r>
    </w:p>
    <w:p w14:paraId="60AF5201" w14:textId="77777777" w:rsidR="001C5148" w:rsidRPr="00FF7B72" w:rsidRDefault="001C5148" w:rsidP="001C5148">
      <w:pPr>
        <w:widowControl/>
        <w:numPr>
          <w:ilvl w:val="0"/>
          <w:numId w:val="4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区块链应用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：蚂蚁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链实现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应收账款凭证多级流转，融资周期从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7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天缩至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小时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4</w:t>
      </w:r>
    </w:p>
    <w:p w14:paraId="40E9CB8D" w14:textId="77777777" w:rsidR="001C5148" w:rsidRPr="00FF7B72" w:rsidRDefault="001C5148" w:rsidP="001C5148">
      <w:pPr>
        <w:widowControl/>
        <w:numPr>
          <w:ilvl w:val="0"/>
          <w:numId w:val="4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lastRenderedPageBreak/>
        <w:t>物联网监管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：中交兴路为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万辆重卡安装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传感器，货物异动报警准确率达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99%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5</w:t>
      </w:r>
    </w:p>
    <w:p w14:paraId="6432BC3C" w14:textId="77777777" w:rsidR="001C5148" w:rsidRPr="00FF7B72" w:rsidRDefault="001C5148" w:rsidP="001C5148">
      <w:pPr>
        <w:widowControl/>
        <w:numPr>
          <w:ilvl w:val="0"/>
          <w:numId w:val="4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AI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风控模型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：京东物流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京保贝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通过机器学习预测供应商违约概率，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精度超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90%</w:t>
      </w:r>
    </w:p>
    <w:p w14:paraId="096C25BD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技术融合使服务边界不断拓展：单笔融资下限从万元级降至千元级（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如天猫订单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贷最小单笔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8200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元）；服务对象从企业延伸至个体（如卡车司机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ETC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垫资）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45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14F07245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2.3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普惠聚焦：从核心企业到长尾客户</w:t>
      </w:r>
    </w:p>
    <w:p w14:paraId="675C73CA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物流金融呈现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下沉式发展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特征：</w:t>
      </w:r>
    </w:p>
    <w:p w14:paraId="60D30B76" w14:textId="77777777" w:rsidR="001C5148" w:rsidRPr="00FF7B72" w:rsidRDefault="001C5148" w:rsidP="001C5148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客群下沉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：从核心企业（如海尔）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 xml:space="preserve">→ 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一级供应商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 xml:space="preserve"> → 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二级供应商（如日日顺服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务小微占比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90%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4</w:t>
      </w:r>
    </w:p>
    <w:p w14:paraId="1B6B8A1B" w14:textId="77777777" w:rsidR="001C5148" w:rsidRPr="00FF7B72" w:rsidRDefault="001C5148" w:rsidP="001C5148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行业下沉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：从大宗商品（钢铁、能源）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 xml:space="preserve">→ 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农业、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快消品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（如福建鲍鱼养殖贷）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8</w:t>
      </w:r>
    </w:p>
    <w:p w14:paraId="079DF84B" w14:textId="77777777" w:rsidR="001C5148" w:rsidRPr="00FF7B72" w:rsidRDefault="001C5148" w:rsidP="001C5148">
      <w:pPr>
        <w:widowControl/>
        <w:numPr>
          <w:ilvl w:val="0"/>
          <w:numId w:val="5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区域下沉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：从沿海枢纽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 xml:space="preserve"> → 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县域乡村（如农行县域物流贷余额增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35%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</w:p>
    <w:p w14:paraId="524AF77D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云南石屏县的实践极具代表性：红河生物科技公司凭借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益生菌发酵技术专利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获得知识产权质押贷款，破解了农业科技企业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无厂房、无设备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的融资困境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8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。此类案例显示物流金融正与普惠金融深度融合。</w:t>
      </w:r>
    </w:p>
    <w:p w14:paraId="210550A0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2.4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全球化布局：从国内到跨境</w:t>
      </w:r>
    </w:p>
    <w:p w14:paraId="63F2D846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随着供应链全球化，物流金融呈现跨境延伸态势：</w:t>
      </w:r>
    </w:p>
    <w:p w14:paraId="765FE093" w14:textId="77777777" w:rsidR="001C5148" w:rsidRPr="00FF7B72" w:rsidRDefault="001C5148" w:rsidP="001C5148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模式创新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：保税仓质押、跨境仓单融资、离岸贸易金融</w:t>
      </w:r>
    </w:p>
    <w:p w14:paraId="57375DDD" w14:textId="77777777" w:rsidR="001C5148" w:rsidRPr="00FF7B72" w:rsidRDefault="001C5148" w:rsidP="001C5148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基建支持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：菜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鸟全球物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流网覆盖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1.7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万个村庄，日处理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6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亿条物流详情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4</w:t>
      </w:r>
    </w:p>
    <w:p w14:paraId="0218C7DF" w14:textId="77777777" w:rsidR="001C5148" w:rsidRPr="00FF7B72" w:rsidRDefault="001C5148" w:rsidP="001C5148">
      <w:pPr>
        <w:widowControl/>
        <w:numPr>
          <w:ilvl w:val="0"/>
          <w:numId w:val="6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lastRenderedPageBreak/>
        <w:t>政策突破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：深圳前海试点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跨境资产质押登记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，允许香港企业以内地库存融资</w:t>
      </w:r>
    </w:p>
    <w:p w14:paraId="0BB86EA9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但跨境物流金融仍面临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法律冲突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（如仓单标准不统一）、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汇率风险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（如本币贬值致质押物缩水）、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监管真空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（如离岸监管缺失）等挑战，需通过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技术互认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制度协同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破局。</w:t>
      </w:r>
    </w:p>
    <w:p w14:paraId="3D7A0929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3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中国实践的启示与挑战</w:t>
      </w:r>
    </w:p>
    <w:p w14:paraId="0DBE4A79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3.1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本土化创新成果</w:t>
      </w:r>
    </w:p>
    <w:p w14:paraId="583BAD51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中国物流金融已形成独特竞争力：</w:t>
      </w:r>
    </w:p>
    <w:p w14:paraId="0474E076" w14:textId="77777777" w:rsidR="001C5148" w:rsidRPr="00FF7B72" w:rsidRDefault="001C5148" w:rsidP="001C5148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规模优势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：日均快递量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4.4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亿件（每秒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5144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件）提供海量应用场景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1</w:t>
      </w:r>
    </w:p>
    <w:p w14:paraId="12D3AECA" w14:textId="77777777" w:rsidR="001C5148" w:rsidRPr="00FF7B72" w:rsidRDefault="001C5148" w:rsidP="001C5148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模式创新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：菜鸟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入仓即贷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、千方科技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车旺大卡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等原创模式涌现</w:t>
      </w:r>
    </w:p>
    <w:p w14:paraId="5DE53D65" w14:textId="77777777" w:rsidR="001C5148" w:rsidRPr="00FF7B72" w:rsidRDefault="001C5148" w:rsidP="001C5148">
      <w:pPr>
        <w:widowControl/>
        <w:numPr>
          <w:ilvl w:val="0"/>
          <w:numId w:val="7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技术引领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：区块链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物流金融应用深度全球领先（如蚂蚁链双链通）</w:t>
      </w:r>
    </w:p>
    <w:p w14:paraId="3E712681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3.2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可持续发展挑战</w:t>
      </w:r>
    </w:p>
    <w:p w14:paraId="15DF0266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行业发展仍面临三重矛盾：</w:t>
      </w:r>
    </w:p>
    <w:p w14:paraId="276BCD3C" w14:textId="77777777" w:rsidR="001C5148" w:rsidRPr="00FF7B72" w:rsidRDefault="001C5148" w:rsidP="001C5148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商业可持续性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：普惠要求与风险成本平衡难（小微物流贷不良率达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3.5%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）</w:t>
      </w:r>
    </w:p>
    <w:p w14:paraId="6DAD49E4" w14:textId="77777777" w:rsidR="001C5148" w:rsidRPr="00FF7B72" w:rsidRDefault="001C5148" w:rsidP="001C5148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数据治理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：信息孤岛与隐私保护双重挑战</w:t>
      </w:r>
    </w:p>
    <w:p w14:paraId="2BF89A87" w14:textId="77777777" w:rsidR="001C5148" w:rsidRPr="00FF7B72" w:rsidRDefault="001C5148" w:rsidP="001C5148">
      <w:pPr>
        <w:widowControl/>
        <w:numPr>
          <w:ilvl w:val="0"/>
          <w:numId w:val="8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监管适配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：金融创新与监管滞后存在冲突（如电子仓单法律效力模糊）</w:t>
      </w:r>
    </w:p>
    <w:p w14:paraId="7B4CF9B1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董希淼指出关键：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普惠金融需做到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成本可覆盖、风险可控制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，这要求政府提供适度风险补偿，金融机构深化科技应用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18"/>
          <w:szCs w:val="18"/>
          <w:shd w:val="clear" w:color="auto" w:fill="E5E5E5"/>
        </w:rPr>
        <w:t>8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。</w:t>
      </w:r>
    </w:p>
    <w:p w14:paraId="5313F489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1"/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 xml:space="preserve">4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34"/>
          <w:szCs w:val="34"/>
        </w:rPr>
        <w:t>未来演进方向</w:t>
      </w:r>
    </w:p>
    <w:p w14:paraId="3F9901B6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物流金融正朝四个方向进化：</w:t>
      </w:r>
    </w:p>
    <w:p w14:paraId="6BE38A11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lastRenderedPageBreak/>
        <w:t xml:space="preserve">4.1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服务深度：全链条融合</w:t>
      </w:r>
    </w:p>
    <w:p w14:paraId="13349E0C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从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单点融资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转向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供应链全周期服务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</w:p>
    <w:p w14:paraId="649FED2D" w14:textId="77777777" w:rsidR="001C5148" w:rsidRPr="00FF7B72" w:rsidRDefault="001C5148" w:rsidP="001C5148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采购端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：订单融资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原材料质押</w:t>
      </w:r>
    </w:p>
    <w:p w14:paraId="665AC7BD" w14:textId="77777777" w:rsidR="001C5148" w:rsidRPr="00FF7B72" w:rsidRDefault="001C5148" w:rsidP="001C5148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生产端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：在制品动态监管融资</w:t>
      </w:r>
    </w:p>
    <w:p w14:paraId="43AD892F" w14:textId="77777777" w:rsidR="001C5148" w:rsidRPr="00FF7B72" w:rsidRDefault="001C5148" w:rsidP="001C5148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销售端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：应收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账款保理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存货融资</w:t>
      </w:r>
    </w:p>
    <w:p w14:paraId="73749CA6" w14:textId="77777777" w:rsidR="001C5148" w:rsidRPr="00FF7B72" w:rsidRDefault="001C5148" w:rsidP="001C5148">
      <w:pPr>
        <w:widowControl/>
        <w:numPr>
          <w:ilvl w:val="0"/>
          <w:numId w:val="9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交付端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</w:t>
      </w:r>
      <w:proofErr w:type="gramStart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运费保理</w:t>
      </w:r>
      <w:proofErr w:type="gramEnd"/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设备租赁</w:t>
      </w:r>
    </w:p>
    <w:p w14:paraId="5BAA7E92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4.2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参与主体：多元化协作</w:t>
      </w:r>
    </w:p>
    <w:p w14:paraId="36C68107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形成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金融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产业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科技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铁三角：</w:t>
      </w:r>
    </w:p>
    <w:p w14:paraId="7850C926" w14:textId="77777777" w:rsidR="001C5148" w:rsidRPr="00FF7B72" w:rsidRDefault="001C5148" w:rsidP="001C5148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金融机构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：提供低成本资金（如政策性银行转贷款）</w:t>
      </w:r>
    </w:p>
    <w:p w14:paraId="4E41AE51" w14:textId="77777777" w:rsidR="001C5148" w:rsidRPr="00FF7B72" w:rsidRDefault="001C5148" w:rsidP="001C5148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核心企业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：输出数据与信用（如京东开放采购数据）</w:t>
      </w:r>
    </w:p>
    <w:p w14:paraId="48C9287A" w14:textId="77777777" w:rsidR="001C5148" w:rsidRPr="00FF7B72" w:rsidRDefault="001C5148" w:rsidP="001C5148">
      <w:pPr>
        <w:widowControl/>
        <w:numPr>
          <w:ilvl w:val="0"/>
          <w:numId w:val="10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科技公司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：搭建技术平台（如区块链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物联网融合）</w:t>
      </w:r>
    </w:p>
    <w:p w14:paraId="68229BFF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4.3 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风控体系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：智能化升级</w:t>
      </w:r>
    </w:p>
    <w:p w14:paraId="12C77103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构建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前馈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-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反馈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双循环风控：</w:t>
      </w:r>
    </w:p>
    <w:p w14:paraId="08473EBC" w14:textId="77777777" w:rsidR="001C5148" w:rsidRPr="00FF7B72" w:rsidRDefault="001C5148" w:rsidP="001C5148">
      <w:pPr>
        <w:widowControl/>
        <w:numPr>
          <w:ilvl w:val="0"/>
          <w:numId w:val="1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前馈系统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：宏观经济预测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行业风险预警</w:t>
      </w:r>
    </w:p>
    <w:p w14:paraId="303E6014" w14:textId="77777777" w:rsidR="001C5148" w:rsidRPr="00FF7B72" w:rsidRDefault="001C5148" w:rsidP="001C5148">
      <w:pPr>
        <w:widowControl/>
        <w:numPr>
          <w:ilvl w:val="0"/>
          <w:numId w:val="11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反馈机制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：实时资产追踪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自适应质押率调整</w:t>
      </w:r>
    </w:p>
    <w:p w14:paraId="63F8B86E" w14:textId="77777777" w:rsidR="001C5148" w:rsidRPr="00FF7B72" w:rsidRDefault="001C5148" w:rsidP="001C5148">
      <w:pPr>
        <w:widowControl/>
        <w:shd w:val="clear" w:color="auto" w:fill="FFFFFF"/>
        <w:spacing w:before="274" w:after="206"/>
        <w:jc w:val="left"/>
        <w:outlineLvl w:val="2"/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 xml:space="preserve">4.4 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7"/>
          <w:szCs w:val="27"/>
        </w:rPr>
        <w:t>制度环境：规范化发展</w:t>
      </w:r>
    </w:p>
    <w:p w14:paraId="57C833A5" w14:textId="77777777" w:rsidR="001C5148" w:rsidRPr="00FF7B72" w:rsidRDefault="001C5148" w:rsidP="001C5148">
      <w:pPr>
        <w:widowControl/>
        <w:shd w:val="clear" w:color="auto" w:fill="FFFFFF"/>
        <w:spacing w:before="206" w:after="206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亟需三大制度突破：</w:t>
      </w:r>
    </w:p>
    <w:p w14:paraId="3672190F" w14:textId="77777777" w:rsidR="001C5148" w:rsidRPr="00FF7B72" w:rsidRDefault="001C5148" w:rsidP="001C5148">
      <w:pPr>
        <w:widowControl/>
        <w:numPr>
          <w:ilvl w:val="0"/>
          <w:numId w:val="1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电子仓单标准化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：明确法律属性与流通规则</w:t>
      </w:r>
    </w:p>
    <w:p w14:paraId="52381F4D" w14:textId="77777777" w:rsidR="001C5148" w:rsidRPr="00FF7B72" w:rsidRDefault="001C5148" w:rsidP="001C5148">
      <w:pPr>
        <w:widowControl/>
        <w:numPr>
          <w:ilvl w:val="0"/>
          <w:numId w:val="1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监管科技应用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：区块链监管账户试点</w:t>
      </w:r>
    </w:p>
    <w:p w14:paraId="4E15B86B" w14:textId="77777777" w:rsidR="001C5148" w:rsidRPr="00FF7B72" w:rsidRDefault="001C5148" w:rsidP="001C5148">
      <w:pPr>
        <w:widowControl/>
        <w:numPr>
          <w:ilvl w:val="0"/>
          <w:numId w:val="12"/>
        </w:numPr>
        <w:shd w:val="clear" w:color="auto" w:fill="FFFFFF"/>
        <w:spacing w:after="100" w:afterAutospacing="1" w:line="429" w:lineRule="atLeast"/>
        <w:ind w:left="0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lastRenderedPageBreak/>
        <w:t>风险补偿基金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：政府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+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行业协会联合设立</w:t>
      </w:r>
    </w:p>
    <w:p w14:paraId="3250CCD8" w14:textId="77777777" w:rsidR="001C5148" w:rsidRPr="00FF7B72" w:rsidRDefault="001C5148" w:rsidP="001C5148">
      <w:pPr>
        <w:widowControl/>
        <w:shd w:val="clear" w:color="auto" w:fill="FFFFFF"/>
        <w:spacing w:before="206" w:after="100" w:afterAutospacing="1" w:line="429" w:lineRule="atLeast"/>
        <w:jc w:val="left"/>
        <w:rPr>
          <w:rFonts w:ascii="Segoe UI" w:eastAsia="宋体" w:hAnsi="Segoe UI" w:cs="Segoe UI"/>
          <w:color w:val="404040"/>
          <w:kern w:val="0"/>
          <w:sz w:val="24"/>
          <w:szCs w:val="24"/>
        </w:rPr>
      </w:pP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物流金融的未来将是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无金融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不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物流、无科技</w:t>
      </w:r>
      <w:proofErr w:type="gramStart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不</w:t>
      </w:r>
      <w:proofErr w:type="gramEnd"/>
      <w:r w:rsidRPr="00FF7B72">
        <w:rPr>
          <w:rFonts w:ascii="Segoe UI" w:eastAsia="宋体" w:hAnsi="Segoe UI" w:cs="Segoe UI"/>
          <w:b/>
          <w:bCs/>
          <w:color w:val="404040"/>
          <w:kern w:val="0"/>
          <w:sz w:val="24"/>
          <w:szCs w:val="24"/>
        </w:rPr>
        <w:t>金融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深度耦合时代。当每个包裹都携带数字信用，每辆卡车都成为移动银行，物流将不再只是物品转移的通道，而是价值创造的源泉。这需要从业者既尊重物流的实体规律，又掌握金融的虚拟智慧，在风险可控的轨道上驶向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“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货如轮转、钱如活水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”</w:t>
      </w:r>
      <w:r w:rsidRPr="00FF7B72">
        <w:rPr>
          <w:rFonts w:ascii="Segoe UI" w:eastAsia="宋体" w:hAnsi="Segoe UI" w:cs="Segoe UI"/>
          <w:color w:val="404040"/>
          <w:kern w:val="0"/>
          <w:sz w:val="24"/>
          <w:szCs w:val="24"/>
        </w:rPr>
        <w:t>的理想境界。</w:t>
      </w:r>
    </w:p>
    <w:p w14:paraId="627F6A71" w14:textId="77777777" w:rsidR="00017EE7" w:rsidRPr="001C5148" w:rsidRDefault="00017EE7">
      <w:bookmarkStart w:id="0" w:name="_GoBack"/>
      <w:bookmarkEnd w:id="0"/>
    </w:p>
    <w:sectPr w:rsidR="00017EE7" w:rsidRPr="001C51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A1097" w14:textId="77777777" w:rsidR="00950F97" w:rsidRDefault="00950F97" w:rsidP="001C5148">
      <w:r>
        <w:separator/>
      </w:r>
    </w:p>
  </w:endnote>
  <w:endnote w:type="continuationSeparator" w:id="0">
    <w:p w14:paraId="2CAAF271" w14:textId="77777777" w:rsidR="00950F97" w:rsidRDefault="00950F97" w:rsidP="001C51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5899E" w14:textId="77777777" w:rsidR="00950F97" w:rsidRDefault="00950F97" w:rsidP="001C5148">
      <w:r>
        <w:separator/>
      </w:r>
    </w:p>
  </w:footnote>
  <w:footnote w:type="continuationSeparator" w:id="0">
    <w:p w14:paraId="2F1FB1F6" w14:textId="77777777" w:rsidR="00950F97" w:rsidRDefault="00950F97" w:rsidP="001C51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44826"/>
    <w:multiLevelType w:val="multilevel"/>
    <w:tmpl w:val="3FECA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890E0B"/>
    <w:multiLevelType w:val="multilevel"/>
    <w:tmpl w:val="E370D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27339F"/>
    <w:multiLevelType w:val="multilevel"/>
    <w:tmpl w:val="5120A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7986EA1"/>
    <w:multiLevelType w:val="multilevel"/>
    <w:tmpl w:val="F1B07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02E59B7"/>
    <w:multiLevelType w:val="multilevel"/>
    <w:tmpl w:val="28549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4B2EA9"/>
    <w:multiLevelType w:val="multilevel"/>
    <w:tmpl w:val="8594F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8D23A53"/>
    <w:multiLevelType w:val="multilevel"/>
    <w:tmpl w:val="780A7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51761F"/>
    <w:multiLevelType w:val="multilevel"/>
    <w:tmpl w:val="B4B63A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F3645C5"/>
    <w:multiLevelType w:val="multilevel"/>
    <w:tmpl w:val="B218C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B07F0E"/>
    <w:multiLevelType w:val="multilevel"/>
    <w:tmpl w:val="FB5EE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420566"/>
    <w:multiLevelType w:val="multilevel"/>
    <w:tmpl w:val="8C46C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E42A56"/>
    <w:multiLevelType w:val="multilevel"/>
    <w:tmpl w:val="CB1C8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11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2C4"/>
    <w:rsid w:val="00017EE7"/>
    <w:rsid w:val="001C5148"/>
    <w:rsid w:val="002262C4"/>
    <w:rsid w:val="0095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619CD98-100C-4BC7-8123-193BF932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C51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51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C514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C51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C51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asuss</dc:creator>
  <cp:keywords/>
  <dc:description/>
  <cp:lastModifiedBy>asuss</cp:lastModifiedBy>
  <cp:revision>2</cp:revision>
  <dcterms:created xsi:type="dcterms:W3CDTF">2025-06-12T12:27:00Z</dcterms:created>
  <dcterms:modified xsi:type="dcterms:W3CDTF">2025-06-12T12:27:00Z</dcterms:modified>
</cp:coreProperties>
</file>