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48763E">
      <w:pPr>
        <w:pStyle w:val="2"/>
        <w:keepNext w:val="0"/>
        <w:keepLines w:val="0"/>
        <w:widowControl/>
        <w:suppressLineNumbers w:val="0"/>
        <w:ind w:firstLine="1446" w:firstLineChars="300"/>
      </w:pPr>
      <w:r>
        <w:t>牛鞭效应对物流运营的影响</w:t>
      </w:r>
    </w:p>
    <w:p w14:paraId="6082E8C3">
      <w:pPr>
        <w:pStyle w:val="3"/>
        <w:keepNext w:val="0"/>
        <w:keepLines w:val="0"/>
        <w:widowControl/>
        <w:suppressLineNumbers w:val="0"/>
      </w:pPr>
      <w:r>
        <w:t xml:space="preserve">1 引言 </w:t>
      </w:r>
    </w:p>
    <w:p w14:paraId="7C856C8B">
      <w:pPr>
        <w:keepNext w:val="0"/>
        <w:keepLines w:val="0"/>
        <w:widowControl/>
        <w:suppressLineNumbers w:val="0"/>
        <w:jc w:val="left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牛鞭效应是供应链管理中的经典现象，指</w:t>
      </w:r>
      <w:r>
        <w:rPr>
          <w:rStyle w:val="7"/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需求信息</w:t>
      </w: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从供应链下游向上游传递过程中出现的</w:t>
      </w:r>
      <w:r>
        <w:rPr>
          <w:rStyle w:val="7"/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波动逐级放大</w:t>
      </w: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现象。这种现象得名于其波动方式类似甩动的牛鞭，末端波动远大于手部动作。美国供应链管理专家Hau L. Lee教授对此进行了系统描述，指出尽管特定产品的终端需求波动不大，但经过供应链各环节传递后，上游供应商面临的订单波动会大幅增加。</w:t>
      </w:r>
    </w:p>
    <w:p w14:paraId="7F640E31">
      <w:pPr>
        <w:keepNext w:val="0"/>
        <w:keepLines w:val="0"/>
        <w:widowControl/>
        <w:suppressLineNumbers w:val="0"/>
        <w:jc w:val="left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牛鞭效应对物流与供应链管理产生了全方位的负面影响，包括</w:t>
      </w:r>
      <w:r>
        <w:rPr>
          <w:rStyle w:val="7"/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库存成本增加</w:t>
      </w: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、</w:t>
      </w:r>
      <w:r>
        <w:rPr>
          <w:rStyle w:val="7"/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运输效率降低</w:t>
      </w: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以及</w:t>
      </w:r>
      <w:r>
        <w:rPr>
          <w:rStyle w:val="7"/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整体供应链响应速度减慢</w:t>
      </w: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。随着全球供应链网络复杂性的增加，牛鞭效应的影响也变得更加显著和广泛。本文旨在系统分析牛鞭效应的形成机制，探讨其对物流运营的影响，并提出有效的应对策略。</w:t>
      </w:r>
    </w:p>
    <w:p w14:paraId="193BE51D">
      <w:pPr>
        <w:pStyle w:val="3"/>
        <w:keepNext w:val="0"/>
        <w:keepLines w:val="0"/>
        <w:widowControl/>
        <w:suppressLineNumbers w:val="0"/>
      </w:pPr>
      <w:r>
        <w:t xml:space="preserve">2 牛鞭效应的形成机制 </w:t>
      </w:r>
    </w:p>
    <w:p w14:paraId="097C6B95">
      <w:pPr>
        <w:pStyle w:val="4"/>
        <w:keepNext w:val="0"/>
        <w:keepLines w:val="0"/>
        <w:widowControl/>
        <w:suppressLineNumbers w:val="0"/>
      </w:pPr>
      <w:r>
        <w:t xml:space="preserve">2.1 信息不对称与预测失真 </w:t>
      </w:r>
    </w:p>
    <w:p w14:paraId="2336AE8C">
      <w:pPr>
        <w:keepNext w:val="0"/>
        <w:keepLines w:val="0"/>
        <w:widowControl/>
        <w:suppressLineNumbers w:val="0"/>
        <w:jc w:val="left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供应链各节点企业之间的</w:t>
      </w:r>
      <w:r>
        <w:rPr>
          <w:rStyle w:val="7"/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信息不对称</w:t>
      </w: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是牛鞭效应的核心成因。在传统供应链中，每个企业通常仅根据其直接下游企业的订单信息进行预测，而非基于最终客户的实际需求数据。这种需求信号的逐级传递会导致信息失真逐渐累积和放大。</w:t>
      </w:r>
    </w:p>
    <w:p w14:paraId="6B6FAEE6">
      <w:pPr>
        <w:keepNext w:val="0"/>
        <w:keepLines w:val="0"/>
        <w:widowControl/>
        <w:suppressLineNumbers w:val="0"/>
        <w:jc w:val="left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当下游企业预测需求增加时，为规避缺货风险，往往会向上游发出大于实际需求的订单。接收放大订单的上游企业，同样基于此信息加上安全库存考虑，向更上游发出更大订单。如此反复，需求信息在供应链中逐级放大。</w:t>
      </w:r>
    </w:p>
    <w:p w14:paraId="19936756">
      <w:pPr>
        <w:pStyle w:val="4"/>
        <w:keepNext w:val="0"/>
        <w:keepLines w:val="0"/>
        <w:widowControl/>
        <w:suppressLineNumbers w:val="0"/>
      </w:pPr>
      <w:r>
        <w:t xml:space="preserve">2.2 库存管理与订货决策 </w:t>
      </w:r>
    </w:p>
    <w:p w14:paraId="7975D9EF">
      <w:pPr>
        <w:keepNext w:val="0"/>
        <w:keepLines w:val="0"/>
        <w:widowControl/>
        <w:suppressLineNumbers w:val="0"/>
        <w:jc w:val="left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供应链中的</w:t>
      </w:r>
      <w:r>
        <w:rPr>
          <w:rStyle w:val="7"/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库存管理实践</w:t>
      </w: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也是牛鞭效应的重要成因。首先，为降低订货频率和固定成本，企业往往采用</w:t>
      </w:r>
      <w:r>
        <w:rPr>
          <w:rStyle w:val="7"/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批量订货策略</w:t>
      </w: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，导致需求集中在特定时段，呈现锯齿形波动。</w:t>
      </w:r>
    </w:p>
    <w:p w14:paraId="3EA937C6">
      <w:pPr>
        <w:keepNext w:val="0"/>
        <w:keepLines w:val="0"/>
        <w:widowControl/>
        <w:suppressLineNumbers w:val="0"/>
        <w:jc w:val="left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其次，</w:t>
      </w:r>
      <w:r>
        <w:rPr>
          <w:rStyle w:val="7"/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库存责任失衡</w:t>
      </w: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进一步加剧了牛鞭效应。当供应商承担库存风险时，销售商倾向于夸大订单以转移风险。需求不确定性增加时，各节点企业提高安全库存水平，这种保守策略在供应链中层层加码，最终导致上游维持极高库存。</w:t>
      </w:r>
    </w:p>
    <w:p w14:paraId="0DC4180F">
      <w:pPr>
        <w:pStyle w:val="4"/>
        <w:keepNext w:val="0"/>
        <w:keepLines w:val="0"/>
        <w:widowControl/>
        <w:suppressLineNumbers w:val="0"/>
      </w:pPr>
      <w:r>
        <w:t xml:space="preserve">2.3 价格波动与市场博弈 </w:t>
      </w:r>
    </w:p>
    <w:p w14:paraId="5FB3FFCE">
      <w:pPr>
        <w:keepNext w:val="0"/>
        <w:keepLines w:val="0"/>
        <w:widowControl/>
        <w:suppressLineNumbers w:val="0"/>
        <w:jc w:val="left"/>
        <w:rPr>
          <w:b w:val="0"/>
          <w:bCs/>
          <w:sz w:val="24"/>
          <w:szCs w:val="24"/>
        </w:rPr>
      </w:pPr>
      <w:r>
        <w:rPr>
          <w:rStyle w:val="7"/>
          <w:rFonts w:ascii="宋体" w:hAnsi="宋体" w:eastAsia="宋体" w:cs="宋体"/>
          <w:b w:val="0"/>
          <w:bCs/>
          <w:kern w:val="0"/>
          <w:sz w:val="24"/>
          <w:szCs w:val="24"/>
          <w:lang w:val="en-US" w:eastAsia="zh-CN" w:bidi="ar"/>
        </w:rPr>
        <w:t>价格波动</w:t>
      </w:r>
      <w:r>
        <w:rPr>
          <w:rFonts w:ascii="宋体" w:hAnsi="宋体" w:eastAsia="宋体" w:cs="宋体"/>
          <w:b w:val="0"/>
          <w:bCs/>
          <w:kern w:val="0"/>
          <w:sz w:val="24"/>
          <w:szCs w:val="24"/>
          <w:lang w:val="en-US" w:eastAsia="zh-CN" w:bidi="ar"/>
        </w:rPr>
        <w:t>是引发牛鞭效应的重要因素。当制造商提供短期折扣或促销时，零售商会倾向于在价格较低时大量购买，造成需求膨胀假象。促销结束后，订单量急剧下降，使供应商难以区分实际需求和人为波动。</w:t>
      </w:r>
    </w:p>
    <w:p w14:paraId="74A758D6">
      <w:pPr>
        <w:keepNext w:val="0"/>
        <w:keepLines w:val="0"/>
        <w:widowControl/>
        <w:suppressLineNumbers w:val="0"/>
        <w:jc w:val="left"/>
        <w:rPr>
          <w:b w:val="0"/>
          <w:bCs/>
          <w:sz w:val="24"/>
          <w:szCs w:val="24"/>
        </w:rPr>
      </w:pPr>
      <w:r>
        <w:rPr>
          <w:rFonts w:ascii="宋体" w:hAnsi="宋体" w:eastAsia="宋体" w:cs="宋体"/>
          <w:b w:val="0"/>
          <w:bCs/>
          <w:kern w:val="0"/>
          <w:sz w:val="24"/>
          <w:szCs w:val="24"/>
          <w:lang w:val="en-US" w:eastAsia="zh-CN" w:bidi="ar"/>
        </w:rPr>
        <w:t>此外，</w:t>
      </w:r>
      <w:r>
        <w:rPr>
          <w:rStyle w:val="7"/>
          <w:rFonts w:ascii="宋体" w:hAnsi="宋体" w:eastAsia="宋体" w:cs="宋体"/>
          <w:b w:val="0"/>
          <w:bCs/>
          <w:kern w:val="0"/>
          <w:sz w:val="24"/>
          <w:szCs w:val="24"/>
          <w:lang w:val="en-US" w:eastAsia="zh-CN" w:bidi="ar"/>
        </w:rPr>
        <w:t>短缺博弈</w:t>
      </w:r>
      <w:r>
        <w:rPr>
          <w:rFonts w:ascii="宋体" w:hAnsi="宋体" w:eastAsia="宋体" w:cs="宋体"/>
          <w:b w:val="0"/>
          <w:bCs/>
          <w:kern w:val="0"/>
          <w:sz w:val="24"/>
          <w:szCs w:val="24"/>
          <w:lang w:val="en-US" w:eastAsia="zh-CN" w:bidi="ar"/>
        </w:rPr>
        <w:t>行为在供需不平衡时显著。当需求大于供应时，供应商按比例分配供应量，购买方会夸大实际需求以确保获得足够分配。一旦需求降温，夸大订单迅速消失，导致供应商库存积压。</w:t>
      </w:r>
    </w:p>
    <w:p w14:paraId="79540BAC">
      <w:pPr>
        <w:pStyle w:val="4"/>
        <w:keepNext w:val="0"/>
        <w:keepLines w:val="0"/>
        <w:widowControl/>
        <w:suppressLineNumbers w:val="0"/>
      </w:pPr>
      <w:r>
        <w:t xml:space="preserve">2.4 供应链结构的影响 </w:t>
      </w:r>
    </w:p>
    <w:p w14:paraId="6BFF5AA1">
      <w:pPr>
        <w:keepNext w:val="0"/>
        <w:keepLines w:val="0"/>
        <w:widowControl/>
        <w:suppressLineNumbers w:val="0"/>
        <w:jc w:val="left"/>
        <w:rPr>
          <w:b w:val="0"/>
          <w:bCs/>
          <w:sz w:val="24"/>
          <w:szCs w:val="24"/>
        </w:rPr>
      </w:pPr>
      <w:r>
        <w:rPr>
          <w:rStyle w:val="7"/>
          <w:rFonts w:ascii="宋体" w:hAnsi="宋体" w:eastAsia="宋体" w:cs="宋体"/>
          <w:b w:val="0"/>
          <w:bCs/>
          <w:kern w:val="0"/>
          <w:sz w:val="24"/>
          <w:szCs w:val="24"/>
          <w:lang w:val="en-US" w:eastAsia="zh-CN" w:bidi="ar"/>
        </w:rPr>
        <w:t>交货时间</w:t>
      </w:r>
      <w:r>
        <w:rPr>
          <w:rFonts w:ascii="宋体" w:hAnsi="宋体" w:eastAsia="宋体" w:cs="宋体"/>
          <w:b w:val="0"/>
          <w:bCs/>
          <w:kern w:val="0"/>
          <w:sz w:val="24"/>
          <w:szCs w:val="24"/>
          <w:lang w:val="en-US" w:eastAsia="zh-CN" w:bidi="ar"/>
        </w:rPr>
        <w:t>的长短和不确定性会影响牛鞭效应。较长交货时间意味着需预测更远的未来需求，增加了预测不准确性。复杂的供应链结构，特别是多层次分销系统，会加剧信息扭曲的放大效果。随着供应链全球化和网络化发展，牛鞭效应的影响也更复杂和广泛。</w:t>
      </w:r>
    </w:p>
    <w:p w14:paraId="73E1670E">
      <w:pPr>
        <w:keepNext w:val="0"/>
        <w:keepLines w:val="0"/>
        <w:widowControl/>
        <w:suppressLineNumbers w:val="0"/>
        <w:jc w:val="left"/>
        <w:rPr>
          <w:b w:val="0"/>
          <w:bCs/>
          <w:sz w:val="24"/>
          <w:szCs w:val="24"/>
        </w:rPr>
      </w:pPr>
      <w:r>
        <w:rPr>
          <w:rStyle w:val="8"/>
          <w:rFonts w:ascii="宋体" w:hAnsi="宋体" w:eastAsia="宋体" w:cs="宋体"/>
          <w:b w:val="0"/>
          <w:bCs/>
          <w:kern w:val="0"/>
          <w:sz w:val="24"/>
          <w:szCs w:val="24"/>
          <w:lang w:val="en-US" w:eastAsia="zh-CN" w:bidi="ar"/>
        </w:rPr>
        <w:t>表1：牛鞭效应形成的主要原因及影响</w:t>
      </w:r>
    </w:p>
    <w:tbl>
      <w:tblPr>
        <w:tblStyle w:val="5"/>
        <w:tblW w:w="0" w:type="auto"/>
        <w:tblInd w:w="0" w:type="dxa"/>
        <w:tblBorders>
          <w:top w:val="single" w:color="E0E0E0" w:sz="4" w:space="0"/>
          <w:left w:val="single" w:color="E0E0E0" w:sz="4" w:space="0"/>
          <w:bottom w:val="single" w:color="E0E0E0" w:sz="4" w:space="0"/>
          <w:right w:val="single" w:color="E0E0E0" w:sz="4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99"/>
        <w:gridCol w:w="3759"/>
        <w:gridCol w:w="2799"/>
      </w:tblGrid>
      <w:tr w14:paraId="59E73985">
        <w:tblPrEx>
          <w:tblBorders>
            <w:top w:val="single" w:color="E0E0E0" w:sz="4" w:space="0"/>
            <w:left w:val="single" w:color="E0E0E0" w:sz="4" w:space="0"/>
            <w:bottom w:val="single" w:color="E0E0E0" w:sz="4" w:space="0"/>
            <w:right w:val="single" w:color="E0E0E0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0" w:type="auto"/>
            <w:tcBorders>
              <w:top w:val="single" w:color="E0E0E0" w:sz="4" w:space="0"/>
              <w:left w:val="single" w:color="E0E0E0" w:sz="4" w:space="0"/>
              <w:bottom w:val="single" w:color="E0E0E0" w:sz="4" w:space="0"/>
              <w:right w:val="single" w:color="E0E0E0" w:sz="4" w:space="0"/>
            </w:tcBorders>
            <w:shd w:val="clear" w:color="auto" w:fill="auto"/>
            <w:tcMar>
              <w:top w:w="129" w:type="dxa"/>
              <w:bottom w:w="129" w:type="dxa"/>
              <w:right w:w="154" w:type="dxa"/>
            </w:tcMar>
            <w:vAlign w:val="center"/>
          </w:tcPr>
          <w:p w14:paraId="71F48EE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b w:val="0"/>
                <w:bCs/>
                <w:sz w:val="24"/>
                <w:szCs w:val="24"/>
              </w:rPr>
            </w:pPr>
            <w:r>
              <w:rPr>
                <w:rStyle w:val="7"/>
                <w:rFonts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"/>
              </w:rPr>
              <w:t>成因类别</w:t>
            </w:r>
            <w:r>
              <w:rPr>
                <w:rFonts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"/>
              </w:rPr>
              <w:t>​</w:t>
            </w:r>
          </w:p>
        </w:tc>
        <w:tc>
          <w:tcPr>
            <w:tcW w:w="0" w:type="auto"/>
            <w:tcBorders>
              <w:top w:val="single" w:color="E0E0E0" w:sz="4" w:space="0"/>
              <w:left w:val="single" w:color="E0E0E0" w:sz="4" w:space="0"/>
              <w:bottom w:val="single" w:color="E0E0E0" w:sz="4" w:space="0"/>
              <w:right w:val="single" w:color="E0E0E0" w:sz="4" w:space="0"/>
            </w:tcBorders>
            <w:shd w:val="clear" w:color="auto" w:fill="auto"/>
            <w:tcMar>
              <w:top w:w="129" w:type="dxa"/>
              <w:bottom w:w="129" w:type="dxa"/>
              <w:right w:w="154" w:type="dxa"/>
            </w:tcMar>
            <w:vAlign w:val="center"/>
          </w:tcPr>
          <w:p w14:paraId="6C19296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b w:val="0"/>
                <w:bCs/>
                <w:sz w:val="24"/>
                <w:szCs w:val="24"/>
              </w:rPr>
            </w:pPr>
            <w:r>
              <w:rPr>
                <w:rStyle w:val="7"/>
                <w:rFonts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"/>
              </w:rPr>
              <w:t>具体表现</w:t>
            </w:r>
            <w:r>
              <w:rPr>
                <w:rFonts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"/>
              </w:rPr>
              <w:t>​</w:t>
            </w:r>
          </w:p>
        </w:tc>
        <w:tc>
          <w:tcPr>
            <w:tcW w:w="0" w:type="auto"/>
            <w:tcBorders>
              <w:top w:val="single" w:color="E0E0E0" w:sz="4" w:space="0"/>
              <w:left w:val="single" w:color="E0E0E0" w:sz="4" w:space="0"/>
              <w:bottom w:val="single" w:color="E0E0E0" w:sz="4" w:space="0"/>
              <w:right w:val="single" w:color="E0E0E0" w:sz="4" w:space="0"/>
            </w:tcBorders>
            <w:shd w:val="clear" w:color="auto" w:fill="auto"/>
            <w:tcMar>
              <w:top w:w="129" w:type="dxa"/>
              <w:bottom w:w="129" w:type="dxa"/>
              <w:right w:w="154" w:type="dxa"/>
            </w:tcMar>
            <w:vAlign w:val="center"/>
          </w:tcPr>
          <w:p w14:paraId="03D2709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b w:val="0"/>
                <w:bCs/>
                <w:sz w:val="24"/>
                <w:szCs w:val="24"/>
              </w:rPr>
            </w:pPr>
            <w:r>
              <w:rPr>
                <w:rStyle w:val="7"/>
                <w:rFonts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"/>
              </w:rPr>
              <w:t>对牛鞭效应的影响程度</w:t>
            </w:r>
            <w:r>
              <w:rPr>
                <w:rFonts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"/>
              </w:rPr>
              <w:t>​</w:t>
            </w:r>
          </w:p>
        </w:tc>
      </w:tr>
      <w:tr w14:paraId="3AE094DC">
        <w:tblPrEx>
          <w:tblBorders>
            <w:top w:val="single" w:color="E0E0E0" w:sz="4" w:space="0"/>
            <w:left w:val="single" w:color="E0E0E0" w:sz="4" w:space="0"/>
            <w:bottom w:val="single" w:color="E0E0E0" w:sz="4" w:space="0"/>
            <w:right w:val="single" w:color="E0E0E0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0E0E0" w:sz="4" w:space="0"/>
              <w:left w:val="single" w:color="E0E0E0" w:sz="4" w:space="0"/>
              <w:bottom w:val="single" w:color="E0E0E0" w:sz="4" w:space="0"/>
              <w:right w:val="single" w:color="E0E0E0" w:sz="4" w:space="0"/>
            </w:tcBorders>
            <w:shd w:val="clear" w:color="auto" w:fill="auto"/>
            <w:tcMar>
              <w:top w:w="129" w:type="dxa"/>
              <w:bottom w:w="129" w:type="dxa"/>
              <w:right w:w="154" w:type="dxa"/>
            </w:tcMar>
            <w:vAlign w:val="center"/>
          </w:tcPr>
          <w:p w14:paraId="7EE2075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rPr>
                <w:b w:val="0"/>
                <w:bCs/>
                <w:sz w:val="24"/>
                <w:szCs w:val="24"/>
              </w:rPr>
            </w:pPr>
            <w:r>
              <w:rPr>
                <w:rStyle w:val="7"/>
                <w:rFonts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"/>
              </w:rPr>
              <w:t>信息不对称</w:t>
            </w:r>
            <w:r>
              <w:rPr>
                <w:rFonts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"/>
              </w:rPr>
              <w:t>​</w:t>
            </w:r>
          </w:p>
        </w:tc>
        <w:tc>
          <w:tcPr>
            <w:tcW w:w="0" w:type="auto"/>
            <w:tcBorders>
              <w:top w:val="single" w:color="E0E0E0" w:sz="4" w:space="0"/>
              <w:left w:val="single" w:color="E0E0E0" w:sz="4" w:space="0"/>
              <w:bottom w:val="single" w:color="E0E0E0" w:sz="4" w:space="0"/>
              <w:right w:val="single" w:color="E0E0E0" w:sz="4" w:space="0"/>
            </w:tcBorders>
            <w:shd w:val="clear" w:color="auto" w:fill="auto"/>
            <w:tcMar>
              <w:top w:w="129" w:type="dxa"/>
              <w:bottom w:w="129" w:type="dxa"/>
              <w:right w:w="154" w:type="dxa"/>
            </w:tcMar>
            <w:vAlign w:val="center"/>
          </w:tcPr>
          <w:p w14:paraId="3C62508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rPr>
                <w:b w:val="0"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"/>
              </w:rPr>
              <w:t>需求预测逐级失真、信息共享不足</w:t>
            </w:r>
          </w:p>
        </w:tc>
        <w:tc>
          <w:tcPr>
            <w:tcW w:w="0" w:type="auto"/>
            <w:tcBorders>
              <w:top w:val="single" w:color="E0E0E0" w:sz="4" w:space="0"/>
              <w:left w:val="single" w:color="E0E0E0" w:sz="4" w:space="0"/>
              <w:bottom w:val="single" w:color="E0E0E0" w:sz="4" w:space="0"/>
              <w:right w:val="single" w:color="E0E0E0" w:sz="4" w:space="0"/>
            </w:tcBorders>
            <w:shd w:val="clear" w:color="auto" w:fill="auto"/>
            <w:tcMar>
              <w:top w:w="129" w:type="dxa"/>
              <w:bottom w:w="129" w:type="dxa"/>
              <w:right w:w="154" w:type="dxa"/>
            </w:tcMar>
            <w:vAlign w:val="center"/>
          </w:tcPr>
          <w:p w14:paraId="6948247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rPr>
                <w:b w:val="0"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"/>
              </w:rPr>
              <w:t>高</w:t>
            </w:r>
          </w:p>
        </w:tc>
      </w:tr>
      <w:tr w14:paraId="249C2D8F">
        <w:tblPrEx>
          <w:tblBorders>
            <w:top w:val="single" w:color="E0E0E0" w:sz="4" w:space="0"/>
            <w:left w:val="single" w:color="E0E0E0" w:sz="4" w:space="0"/>
            <w:bottom w:val="single" w:color="E0E0E0" w:sz="4" w:space="0"/>
            <w:right w:val="single" w:color="E0E0E0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0E0E0" w:sz="4" w:space="0"/>
              <w:left w:val="single" w:color="E0E0E0" w:sz="4" w:space="0"/>
              <w:bottom w:val="single" w:color="E0E0E0" w:sz="4" w:space="0"/>
              <w:right w:val="single" w:color="E0E0E0" w:sz="4" w:space="0"/>
            </w:tcBorders>
            <w:shd w:val="clear" w:color="auto" w:fill="auto"/>
            <w:tcMar>
              <w:top w:w="129" w:type="dxa"/>
              <w:bottom w:w="129" w:type="dxa"/>
              <w:right w:w="154" w:type="dxa"/>
            </w:tcMar>
            <w:vAlign w:val="center"/>
          </w:tcPr>
          <w:p w14:paraId="64A0DC2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rPr>
                <w:b w:val="0"/>
                <w:bCs/>
                <w:sz w:val="24"/>
                <w:szCs w:val="24"/>
              </w:rPr>
            </w:pPr>
            <w:r>
              <w:rPr>
                <w:rStyle w:val="7"/>
                <w:rFonts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"/>
              </w:rPr>
              <w:t>库存管理</w:t>
            </w:r>
            <w:r>
              <w:rPr>
                <w:rFonts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"/>
              </w:rPr>
              <w:t>​</w:t>
            </w:r>
          </w:p>
        </w:tc>
        <w:tc>
          <w:tcPr>
            <w:tcW w:w="0" w:type="auto"/>
            <w:tcBorders>
              <w:top w:val="single" w:color="E0E0E0" w:sz="4" w:space="0"/>
              <w:left w:val="single" w:color="E0E0E0" w:sz="4" w:space="0"/>
              <w:bottom w:val="single" w:color="E0E0E0" w:sz="4" w:space="0"/>
              <w:right w:val="single" w:color="E0E0E0" w:sz="4" w:space="0"/>
            </w:tcBorders>
            <w:shd w:val="clear" w:color="auto" w:fill="auto"/>
            <w:tcMar>
              <w:top w:w="129" w:type="dxa"/>
              <w:bottom w:w="129" w:type="dxa"/>
              <w:right w:w="154" w:type="dxa"/>
            </w:tcMar>
            <w:vAlign w:val="center"/>
          </w:tcPr>
          <w:p w14:paraId="78D5924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rPr>
                <w:b w:val="0"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"/>
              </w:rPr>
              <w:t>批量订货、库存责任失衡</w:t>
            </w:r>
          </w:p>
        </w:tc>
        <w:tc>
          <w:tcPr>
            <w:tcW w:w="0" w:type="auto"/>
            <w:tcBorders>
              <w:top w:val="single" w:color="E0E0E0" w:sz="4" w:space="0"/>
              <w:left w:val="single" w:color="E0E0E0" w:sz="4" w:space="0"/>
              <w:bottom w:val="single" w:color="E0E0E0" w:sz="4" w:space="0"/>
              <w:right w:val="single" w:color="E0E0E0" w:sz="4" w:space="0"/>
            </w:tcBorders>
            <w:shd w:val="clear" w:color="auto" w:fill="auto"/>
            <w:tcMar>
              <w:top w:w="129" w:type="dxa"/>
              <w:bottom w:w="129" w:type="dxa"/>
              <w:right w:w="154" w:type="dxa"/>
            </w:tcMar>
            <w:vAlign w:val="center"/>
          </w:tcPr>
          <w:p w14:paraId="433B13A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rPr>
                <w:b w:val="0"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"/>
              </w:rPr>
              <w:t>高</w:t>
            </w:r>
          </w:p>
        </w:tc>
      </w:tr>
      <w:tr w14:paraId="1C4F8D1C">
        <w:tblPrEx>
          <w:tblBorders>
            <w:top w:val="single" w:color="E0E0E0" w:sz="4" w:space="0"/>
            <w:left w:val="single" w:color="E0E0E0" w:sz="4" w:space="0"/>
            <w:bottom w:val="single" w:color="E0E0E0" w:sz="4" w:space="0"/>
            <w:right w:val="single" w:color="E0E0E0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0E0E0" w:sz="4" w:space="0"/>
              <w:left w:val="single" w:color="E0E0E0" w:sz="4" w:space="0"/>
              <w:bottom w:val="single" w:color="E0E0E0" w:sz="4" w:space="0"/>
              <w:right w:val="single" w:color="E0E0E0" w:sz="4" w:space="0"/>
            </w:tcBorders>
            <w:shd w:val="clear" w:color="auto" w:fill="auto"/>
            <w:tcMar>
              <w:top w:w="129" w:type="dxa"/>
              <w:bottom w:w="129" w:type="dxa"/>
              <w:right w:w="154" w:type="dxa"/>
            </w:tcMar>
            <w:vAlign w:val="center"/>
          </w:tcPr>
          <w:p w14:paraId="6BD469C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rPr>
                <w:b w:val="0"/>
                <w:bCs/>
                <w:sz w:val="24"/>
                <w:szCs w:val="24"/>
              </w:rPr>
            </w:pPr>
            <w:r>
              <w:rPr>
                <w:rStyle w:val="7"/>
                <w:rFonts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"/>
              </w:rPr>
              <w:t>价格波动</w:t>
            </w:r>
            <w:r>
              <w:rPr>
                <w:rFonts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"/>
              </w:rPr>
              <w:t>​</w:t>
            </w:r>
          </w:p>
        </w:tc>
        <w:tc>
          <w:tcPr>
            <w:tcW w:w="0" w:type="auto"/>
            <w:tcBorders>
              <w:top w:val="single" w:color="E0E0E0" w:sz="4" w:space="0"/>
              <w:left w:val="single" w:color="E0E0E0" w:sz="4" w:space="0"/>
              <w:bottom w:val="single" w:color="E0E0E0" w:sz="4" w:space="0"/>
              <w:right w:val="single" w:color="E0E0E0" w:sz="4" w:space="0"/>
            </w:tcBorders>
            <w:shd w:val="clear" w:color="auto" w:fill="auto"/>
            <w:tcMar>
              <w:top w:w="129" w:type="dxa"/>
              <w:bottom w:w="129" w:type="dxa"/>
              <w:right w:w="154" w:type="dxa"/>
            </w:tcMar>
            <w:vAlign w:val="center"/>
          </w:tcPr>
          <w:p w14:paraId="17C9325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rPr>
                <w:b w:val="0"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"/>
              </w:rPr>
              <w:t>促销活动、价格折扣</w:t>
            </w:r>
          </w:p>
        </w:tc>
        <w:tc>
          <w:tcPr>
            <w:tcW w:w="0" w:type="auto"/>
            <w:tcBorders>
              <w:top w:val="single" w:color="E0E0E0" w:sz="4" w:space="0"/>
              <w:left w:val="single" w:color="E0E0E0" w:sz="4" w:space="0"/>
              <w:bottom w:val="single" w:color="E0E0E0" w:sz="4" w:space="0"/>
              <w:right w:val="single" w:color="E0E0E0" w:sz="4" w:space="0"/>
            </w:tcBorders>
            <w:shd w:val="clear" w:color="auto" w:fill="auto"/>
            <w:tcMar>
              <w:top w:w="129" w:type="dxa"/>
              <w:bottom w:w="129" w:type="dxa"/>
              <w:right w:w="154" w:type="dxa"/>
            </w:tcMar>
            <w:vAlign w:val="center"/>
          </w:tcPr>
          <w:p w14:paraId="44BE307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rPr>
                <w:b w:val="0"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"/>
              </w:rPr>
              <w:t>中高</w:t>
            </w:r>
          </w:p>
        </w:tc>
      </w:tr>
      <w:tr w14:paraId="6A6C6098">
        <w:tblPrEx>
          <w:tblBorders>
            <w:top w:val="single" w:color="E0E0E0" w:sz="4" w:space="0"/>
            <w:left w:val="single" w:color="E0E0E0" w:sz="4" w:space="0"/>
            <w:bottom w:val="single" w:color="E0E0E0" w:sz="4" w:space="0"/>
            <w:right w:val="single" w:color="E0E0E0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0E0E0" w:sz="4" w:space="0"/>
              <w:left w:val="single" w:color="E0E0E0" w:sz="4" w:space="0"/>
              <w:bottom w:val="single" w:color="E0E0E0" w:sz="4" w:space="0"/>
              <w:right w:val="single" w:color="E0E0E0" w:sz="4" w:space="0"/>
            </w:tcBorders>
            <w:shd w:val="clear" w:color="auto" w:fill="auto"/>
            <w:tcMar>
              <w:top w:w="129" w:type="dxa"/>
              <w:bottom w:w="129" w:type="dxa"/>
              <w:right w:w="154" w:type="dxa"/>
            </w:tcMar>
            <w:vAlign w:val="center"/>
          </w:tcPr>
          <w:p w14:paraId="296D05C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rPr>
                <w:b w:val="0"/>
                <w:bCs/>
                <w:sz w:val="24"/>
                <w:szCs w:val="24"/>
              </w:rPr>
            </w:pPr>
            <w:r>
              <w:rPr>
                <w:rStyle w:val="7"/>
                <w:rFonts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"/>
              </w:rPr>
              <w:t>市场博弈</w:t>
            </w:r>
            <w:r>
              <w:rPr>
                <w:rFonts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"/>
              </w:rPr>
              <w:t>​</w:t>
            </w:r>
          </w:p>
        </w:tc>
        <w:tc>
          <w:tcPr>
            <w:tcW w:w="0" w:type="auto"/>
            <w:tcBorders>
              <w:top w:val="single" w:color="E0E0E0" w:sz="4" w:space="0"/>
              <w:left w:val="single" w:color="E0E0E0" w:sz="4" w:space="0"/>
              <w:bottom w:val="single" w:color="E0E0E0" w:sz="4" w:space="0"/>
              <w:right w:val="single" w:color="E0E0E0" w:sz="4" w:space="0"/>
            </w:tcBorders>
            <w:shd w:val="clear" w:color="auto" w:fill="auto"/>
            <w:tcMar>
              <w:top w:w="129" w:type="dxa"/>
              <w:bottom w:w="129" w:type="dxa"/>
              <w:right w:w="154" w:type="dxa"/>
            </w:tcMar>
            <w:vAlign w:val="center"/>
          </w:tcPr>
          <w:p w14:paraId="05244D6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rPr>
                <w:b w:val="0"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"/>
              </w:rPr>
              <w:t>短缺博弈、理性对策</w:t>
            </w:r>
          </w:p>
        </w:tc>
        <w:tc>
          <w:tcPr>
            <w:tcW w:w="0" w:type="auto"/>
            <w:tcBorders>
              <w:top w:val="single" w:color="E0E0E0" w:sz="4" w:space="0"/>
              <w:left w:val="single" w:color="E0E0E0" w:sz="4" w:space="0"/>
              <w:bottom w:val="single" w:color="E0E0E0" w:sz="4" w:space="0"/>
              <w:right w:val="single" w:color="E0E0E0" w:sz="4" w:space="0"/>
            </w:tcBorders>
            <w:shd w:val="clear" w:color="auto" w:fill="auto"/>
            <w:tcMar>
              <w:top w:w="129" w:type="dxa"/>
              <w:bottom w:w="129" w:type="dxa"/>
              <w:right w:w="154" w:type="dxa"/>
            </w:tcMar>
            <w:vAlign w:val="center"/>
          </w:tcPr>
          <w:p w14:paraId="65F393D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rPr>
                <w:b w:val="0"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"/>
              </w:rPr>
              <w:t>中</w:t>
            </w:r>
          </w:p>
        </w:tc>
      </w:tr>
      <w:tr w14:paraId="1EF3C17B">
        <w:tblPrEx>
          <w:tblBorders>
            <w:top w:val="single" w:color="E0E0E0" w:sz="4" w:space="0"/>
            <w:left w:val="single" w:color="E0E0E0" w:sz="4" w:space="0"/>
            <w:bottom w:val="single" w:color="E0E0E0" w:sz="4" w:space="0"/>
            <w:right w:val="single" w:color="E0E0E0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0E0E0" w:sz="4" w:space="0"/>
              <w:left w:val="single" w:color="E0E0E0" w:sz="4" w:space="0"/>
              <w:bottom w:val="single" w:color="E0E0E0" w:sz="4" w:space="0"/>
              <w:right w:val="single" w:color="E0E0E0" w:sz="4" w:space="0"/>
            </w:tcBorders>
            <w:shd w:val="clear" w:color="auto" w:fill="auto"/>
            <w:tcMar>
              <w:top w:w="129" w:type="dxa"/>
              <w:bottom w:w="129" w:type="dxa"/>
              <w:right w:w="154" w:type="dxa"/>
            </w:tcMar>
            <w:vAlign w:val="center"/>
          </w:tcPr>
          <w:p w14:paraId="06A28C5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rPr>
                <w:b w:val="0"/>
                <w:bCs/>
                <w:sz w:val="24"/>
                <w:szCs w:val="24"/>
              </w:rPr>
            </w:pPr>
            <w:r>
              <w:rPr>
                <w:rStyle w:val="7"/>
                <w:rFonts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"/>
              </w:rPr>
              <w:t>供应链结构</w:t>
            </w:r>
            <w:r>
              <w:rPr>
                <w:rFonts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"/>
              </w:rPr>
              <w:t>​</w:t>
            </w:r>
          </w:p>
        </w:tc>
        <w:tc>
          <w:tcPr>
            <w:tcW w:w="0" w:type="auto"/>
            <w:tcBorders>
              <w:top w:val="single" w:color="E0E0E0" w:sz="4" w:space="0"/>
              <w:left w:val="single" w:color="E0E0E0" w:sz="4" w:space="0"/>
              <w:bottom w:val="single" w:color="E0E0E0" w:sz="4" w:space="0"/>
              <w:right w:val="single" w:color="E0E0E0" w:sz="4" w:space="0"/>
            </w:tcBorders>
            <w:shd w:val="clear" w:color="auto" w:fill="auto"/>
            <w:tcMar>
              <w:top w:w="129" w:type="dxa"/>
              <w:bottom w:w="129" w:type="dxa"/>
              <w:right w:w="154" w:type="dxa"/>
            </w:tcMar>
            <w:vAlign w:val="center"/>
          </w:tcPr>
          <w:p w14:paraId="2341D50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rPr>
                <w:b w:val="0"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"/>
              </w:rPr>
              <w:t>交货时间长、多层次结构</w:t>
            </w:r>
          </w:p>
        </w:tc>
        <w:tc>
          <w:tcPr>
            <w:tcW w:w="0" w:type="auto"/>
            <w:tcBorders>
              <w:top w:val="single" w:color="E0E0E0" w:sz="4" w:space="0"/>
              <w:left w:val="single" w:color="E0E0E0" w:sz="4" w:space="0"/>
              <w:bottom w:val="single" w:color="E0E0E0" w:sz="4" w:space="0"/>
              <w:right w:val="single" w:color="E0E0E0" w:sz="4" w:space="0"/>
            </w:tcBorders>
            <w:shd w:val="clear" w:color="auto" w:fill="auto"/>
            <w:tcMar>
              <w:top w:w="129" w:type="dxa"/>
              <w:bottom w:w="129" w:type="dxa"/>
              <w:right w:w="154" w:type="dxa"/>
            </w:tcMar>
            <w:vAlign w:val="center"/>
          </w:tcPr>
          <w:p w14:paraId="6CD5AEC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rPr>
                <w:b w:val="0"/>
                <w:bCs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"/>
              </w:rPr>
              <w:t>中</w:t>
            </w:r>
          </w:p>
        </w:tc>
      </w:tr>
    </w:tbl>
    <w:p w14:paraId="14FF2C11">
      <w:pPr>
        <w:pStyle w:val="3"/>
        <w:keepNext w:val="0"/>
        <w:keepLines w:val="0"/>
        <w:widowControl/>
        <w:suppressLineNumbers w:val="0"/>
      </w:pPr>
      <w:r>
        <w:t xml:space="preserve">3 牛鞭效应对物流系统的影响 </w:t>
      </w:r>
    </w:p>
    <w:p w14:paraId="72422437">
      <w:pPr>
        <w:pStyle w:val="4"/>
        <w:keepNext w:val="0"/>
        <w:keepLines w:val="0"/>
        <w:widowControl/>
        <w:suppressLineNumbers w:val="0"/>
      </w:pPr>
      <w:r>
        <w:t xml:space="preserve">3.1 库存成本增加 </w:t>
      </w:r>
    </w:p>
    <w:p w14:paraId="6970AEA4">
      <w:pPr>
        <w:keepNext w:val="0"/>
        <w:keepLines w:val="0"/>
        <w:widowControl/>
        <w:suppressLineNumbers w:val="0"/>
        <w:jc w:val="left"/>
        <w:rPr>
          <w:b w:val="0"/>
          <w:bCs w:val="0"/>
          <w:sz w:val="24"/>
          <w:szCs w:val="24"/>
        </w:rPr>
      </w:pPr>
      <w:bookmarkStart w:id="0" w:name="_GoBack"/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牛鞭效应最直接的影响是导致</w:t>
      </w:r>
      <w:r>
        <w:rPr>
          <w:rStyle w:val="7"/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库存水平急剧上升</w:t>
      </w: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。为应对放大的需求波动，供应</w:t>
      </w:r>
      <w:bookmarkEnd w:id="0"/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链各节点企业特别是上游企业，需维持较高安全库存。例如，典型多级供应链中，制造商面对的需求波动比零售商高3-4倍，需维持相应更高库存水平。</w:t>
      </w:r>
    </w:p>
    <w:p w14:paraId="0CC8CF35">
      <w:pPr>
        <w:keepNext w:val="0"/>
        <w:keepLines w:val="0"/>
        <w:widowControl/>
        <w:suppressLineNumbers w:val="0"/>
        <w:jc w:val="left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高库存水平意味着</w:t>
      </w:r>
      <w:r>
        <w:rPr>
          <w:rStyle w:val="7"/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资金占用增加</w:t>
      </w: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，库存持有成本上升，包括仓储空间成本、保险费、管理成本及库存物品变质风险。据估计，牛鞭效应可使整个供应链的库存成本增加15%-25%。</w:t>
      </w:r>
    </w:p>
    <w:p w14:paraId="47923B50">
      <w:pPr>
        <w:pStyle w:val="4"/>
        <w:keepNext w:val="0"/>
        <w:keepLines w:val="0"/>
        <w:widowControl/>
        <w:suppressLineNumbers w:val="0"/>
      </w:pPr>
      <w:r>
        <w:t xml:space="preserve">3.2 运输效率降低 </w:t>
      </w:r>
    </w:p>
    <w:p w14:paraId="55CB1AC7">
      <w:pPr>
        <w:keepNext w:val="0"/>
        <w:keepLines w:val="0"/>
        <w:widowControl/>
        <w:suppressLineNumbers w:val="0"/>
        <w:jc w:val="left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牛鞭效应导致的需求波动使</w:t>
      </w:r>
      <w:r>
        <w:rPr>
          <w:rStyle w:val="7"/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运输计划</w:t>
      </w: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困难。需求放大时，企业需紧急安排额外运输，导致运输成本增加和资源利用率降低；需求缩小时，已安排运输资源闲置。</w:t>
      </w:r>
    </w:p>
    <w:p w14:paraId="1B003BA2">
      <w:pPr>
        <w:keepNext w:val="0"/>
        <w:keepLines w:val="0"/>
        <w:widowControl/>
        <w:suppressLineNumbers w:val="0"/>
        <w:jc w:val="left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需求不稳定性使企业难以实现</w:t>
      </w:r>
      <w:r>
        <w:rPr>
          <w:rStyle w:val="7"/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运输整合</w:t>
      </w: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和优化运输路径。稳定需求流允许企业合并运输批次，选择最优路线和模式，而波动大的需求迫使企业采用更灵活但成本更高的方式。牛鞭效应还会导致运输环节的</w:t>
      </w:r>
      <w:r>
        <w:rPr>
          <w:rStyle w:val="7"/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不协调</w:t>
      </w: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，由于各环节需求信息不一致，运输计划难以同步，出现车辆等待、仓库拥堵等现象。</w:t>
      </w:r>
    </w:p>
    <w:p w14:paraId="1D0A7733">
      <w:pPr>
        <w:pStyle w:val="4"/>
        <w:keepNext w:val="0"/>
        <w:keepLines w:val="0"/>
        <w:widowControl/>
        <w:suppressLineNumbers w:val="0"/>
      </w:pPr>
      <w:r>
        <w:t xml:space="preserve">3.3 仓储管理复杂化 </w:t>
      </w:r>
    </w:p>
    <w:p w14:paraId="380EDAC3">
      <w:pPr>
        <w:keepNext w:val="0"/>
        <w:keepLines w:val="0"/>
        <w:widowControl/>
        <w:suppressLineNumbers w:val="0"/>
        <w:jc w:val="left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不稳定的需求模式给</w:t>
      </w:r>
      <w:r>
        <w:rPr>
          <w:rStyle w:val="7"/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仓储管理</w:t>
      </w: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带来挑战。仓储作业量随需求波动剧烈变化，导致人力资源规划困难：高峰期需临时增加人手，可能降低工作效率和增加错误率；低谷期出现人员闲置。</w:t>
      </w:r>
    </w:p>
    <w:p w14:paraId="60F53B87">
      <w:pPr>
        <w:keepNext w:val="0"/>
        <w:keepLines w:val="0"/>
        <w:widowControl/>
        <w:suppressLineNumbers w:val="0"/>
        <w:jc w:val="left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仓储空间规划也更复杂。为应对峰值需求，企业可能需要更大仓储空间，但低谷期这些空间无法充分利用。货物在仓库中的</w:t>
      </w:r>
      <w:r>
        <w:rPr>
          <w:rStyle w:val="7"/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布局优化</w:t>
      </w: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也因需求不确定性难以实施，影响分拣和出入库效率。</w:t>
      </w:r>
    </w:p>
    <w:p w14:paraId="54195F60">
      <w:pPr>
        <w:pStyle w:val="4"/>
        <w:keepNext w:val="0"/>
        <w:keepLines w:val="0"/>
        <w:widowControl/>
        <w:suppressLineNumbers w:val="0"/>
      </w:pPr>
      <w:r>
        <w:t xml:space="preserve">3.4 供应链整体效率下降 </w:t>
      </w:r>
    </w:p>
    <w:p w14:paraId="049C4782">
      <w:pPr>
        <w:keepNext w:val="0"/>
        <w:keepLines w:val="0"/>
        <w:widowControl/>
        <w:suppressLineNumbers w:val="0"/>
        <w:jc w:val="left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从宏观角度看，牛鞭效应降低了整个</w:t>
      </w:r>
      <w:r>
        <w:rPr>
          <w:rStyle w:val="7"/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供应链的响应速度</w:t>
      </w: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和灵活性。为应对放大需求波动，各环节增加缓冲资源，这些资源提高局部稳定性却降低整体响应速度。</w:t>
      </w:r>
    </w:p>
    <w:p w14:paraId="2E25B6A9">
      <w:pPr>
        <w:keepNext w:val="0"/>
        <w:keepLines w:val="0"/>
        <w:widowControl/>
        <w:suppressLineNumbers w:val="0"/>
        <w:jc w:val="left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牛鞭效应还导致</w:t>
      </w:r>
      <w:r>
        <w:rPr>
          <w:rStyle w:val="7"/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资源浪费</w:t>
      </w: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和</w:t>
      </w:r>
      <w:r>
        <w:rPr>
          <w:rStyle w:val="7"/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环境负担增加</w:t>
      </w: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。不必要生产调整、库存积压和低效运输意味着能源和材料浪费。研究表明，消除牛鞭效应可提高供应链资源利用率20%以上，减少碳排放15%左右。</w:t>
      </w:r>
    </w:p>
    <w:p w14:paraId="75F8A208">
      <w:pPr>
        <w:keepNext w:val="0"/>
        <w:keepLines w:val="0"/>
        <w:widowControl/>
        <w:suppressLineNumbers w:val="0"/>
        <w:jc w:val="left"/>
        <w:rPr>
          <w:b w:val="0"/>
          <w:bCs w:val="0"/>
          <w:sz w:val="24"/>
          <w:szCs w:val="24"/>
        </w:rPr>
      </w:pPr>
      <w:r>
        <w:rPr>
          <w:rStyle w:val="8"/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表2：牛鞭效应对物流各环节的影响</w:t>
      </w:r>
    </w:p>
    <w:tbl>
      <w:tblPr>
        <w:tblStyle w:val="5"/>
        <w:tblW w:w="0" w:type="auto"/>
        <w:tblInd w:w="0" w:type="dxa"/>
        <w:tblBorders>
          <w:top w:val="single" w:color="E0E0E0" w:sz="4" w:space="0"/>
          <w:left w:val="single" w:color="E0E0E0" w:sz="4" w:space="0"/>
          <w:bottom w:val="single" w:color="E0E0E0" w:sz="4" w:space="0"/>
          <w:right w:val="single" w:color="E0E0E0" w:sz="4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59"/>
        <w:gridCol w:w="3759"/>
        <w:gridCol w:w="2979"/>
      </w:tblGrid>
      <w:tr w14:paraId="071E9F13">
        <w:tblPrEx>
          <w:tblBorders>
            <w:top w:val="single" w:color="E0E0E0" w:sz="4" w:space="0"/>
            <w:left w:val="single" w:color="E0E0E0" w:sz="4" w:space="0"/>
            <w:bottom w:val="single" w:color="E0E0E0" w:sz="4" w:space="0"/>
            <w:right w:val="single" w:color="E0E0E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0" w:type="auto"/>
            <w:tcBorders>
              <w:top w:val="single" w:color="E0E0E0" w:sz="4" w:space="0"/>
              <w:left w:val="single" w:color="E0E0E0" w:sz="4" w:space="0"/>
              <w:bottom w:val="single" w:color="E0E0E0" w:sz="4" w:space="0"/>
              <w:right w:val="single" w:color="E0E0E0" w:sz="4" w:space="0"/>
            </w:tcBorders>
            <w:shd w:val="clear" w:color="auto" w:fill="auto"/>
            <w:tcMar>
              <w:top w:w="129" w:type="dxa"/>
              <w:bottom w:w="129" w:type="dxa"/>
              <w:right w:w="154" w:type="dxa"/>
            </w:tcMar>
            <w:vAlign w:val="center"/>
          </w:tcPr>
          <w:p w14:paraId="6ADED1F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rStyle w:val="7"/>
                <w:rFonts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物流环节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​</w:t>
            </w:r>
          </w:p>
        </w:tc>
        <w:tc>
          <w:tcPr>
            <w:tcW w:w="0" w:type="auto"/>
            <w:tcBorders>
              <w:top w:val="single" w:color="E0E0E0" w:sz="4" w:space="0"/>
              <w:left w:val="single" w:color="E0E0E0" w:sz="4" w:space="0"/>
              <w:bottom w:val="single" w:color="E0E0E0" w:sz="4" w:space="0"/>
              <w:right w:val="single" w:color="E0E0E0" w:sz="4" w:space="0"/>
            </w:tcBorders>
            <w:shd w:val="clear" w:color="auto" w:fill="auto"/>
            <w:tcMar>
              <w:top w:w="129" w:type="dxa"/>
              <w:bottom w:w="129" w:type="dxa"/>
              <w:right w:w="154" w:type="dxa"/>
            </w:tcMar>
            <w:vAlign w:val="center"/>
          </w:tcPr>
          <w:p w14:paraId="6D88341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rStyle w:val="7"/>
                <w:rFonts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具体影响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​</w:t>
            </w:r>
          </w:p>
        </w:tc>
        <w:tc>
          <w:tcPr>
            <w:tcW w:w="0" w:type="auto"/>
            <w:tcBorders>
              <w:top w:val="single" w:color="E0E0E0" w:sz="4" w:space="0"/>
              <w:left w:val="single" w:color="E0E0E0" w:sz="4" w:space="0"/>
              <w:bottom w:val="single" w:color="E0E0E0" w:sz="4" w:space="0"/>
              <w:right w:val="single" w:color="E0E0E0" w:sz="4" w:space="0"/>
            </w:tcBorders>
            <w:shd w:val="clear" w:color="auto" w:fill="auto"/>
            <w:tcMar>
              <w:top w:w="129" w:type="dxa"/>
              <w:bottom w:w="129" w:type="dxa"/>
              <w:right w:w="154" w:type="dxa"/>
            </w:tcMar>
            <w:vAlign w:val="center"/>
          </w:tcPr>
          <w:p w14:paraId="71BD1E2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rStyle w:val="7"/>
                <w:rFonts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可能导致的成本增加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​</w:t>
            </w:r>
          </w:p>
        </w:tc>
      </w:tr>
      <w:tr w14:paraId="7D30A9BB">
        <w:tblPrEx>
          <w:tblBorders>
            <w:top w:val="single" w:color="E0E0E0" w:sz="4" w:space="0"/>
            <w:left w:val="single" w:color="E0E0E0" w:sz="4" w:space="0"/>
            <w:bottom w:val="single" w:color="E0E0E0" w:sz="4" w:space="0"/>
            <w:right w:val="single" w:color="E0E0E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0E0E0" w:sz="4" w:space="0"/>
              <w:left w:val="single" w:color="E0E0E0" w:sz="4" w:space="0"/>
              <w:bottom w:val="single" w:color="E0E0E0" w:sz="4" w:space="0"/>
              <w:right w:val="single" w:color="E0E0E0" w:sz="4" w:space="0"/>
            </w:tcBorders>
            <w:shd w:val="clear" w:color="auto" w:fill="auto"/>
            <w:tcMar>
              <w:top w:w="129" w:type="dxa"/>
              <w:bottom w:w="129" w:type="dxa"/>
              <w:right w:w="154" w:type="dxa"/>
            </w:tcMar>
            <w:vAlign w:val="center"/>
          </w:tcPr>
          <w:p w14:paraId="4901C12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rStyle w:val="7"/>
                <w:rFonts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库存管理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​</w:t>
            </w:r>
          </w:p>
        </w:tc>
        <w:tc>
          <w:tcPr>
            <w:tcW w:w="0" w:type="auto"/>
            <w:tcBorders>
              <w:top w:val="single" w:color="E0E0E0" w:sz="4" w:space="0"/>
              <w:left w:val="single" w:color="E0E0E0" w:sz="4" w:space="0"/>
              <w:bottom w:val="single" w:color="E0E0E0" w:sz="4" w:space="0"/>
              <w:right w:val="single" w:color="E0E0E0" w:sz="4" w:space="0"/>
            </w:tcBorders>
            <w:shd w:val="clear" w:color="auto" w:fill="auto"/>
            <w:tcMar>
              <w:top w:w="129" w:type="dxa"/>
              <w:bottom w:w="129" w:type="dxa"/>
              <w:right w:w="154" w:type="dxa"/>
            </w:tcMar>
            <w:vAlign w:val="center"/>
          </w:tcPr>
          <w:p w14:paraId="687F88C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库存水平上升、周转率下降</w:t>
            </w:r>
          </w:p>
        </w:tc>
        <w:tc>
          <w:tcPr>
            <w:tcW w:w="0" w:type="auto"/>
            <w:tcBorders>
              <w:top w:val="single" w:color="E0E0E0" w:sz="4" w:space="0"/>
              <w:left w:val="single" w:color="E0E0E0" w:sz="4" w:space="0"/>
              <w:bottom w:val="single" w:color="E0E0E0" w:sz="4" w:space="0"/>
              <w:right w:val="single" w:color="E0E0E0" w:sz="4" w:space="0"/>
            </w:tcBorders>
            <w:shd w:val="clear" w:color="auto" w:fill="auto"/>
            <w:tcMar>
              <w:top w:w="129" w:type="dxa"/>
              <w:bottom w:w="129" w:type="dxa"/>
              <w:right w:w="154" w:type="dxa"/>
            </w:tcMar>
            <w:vAlign w:val="center"/>
          </w:tcPr>
          <w:p w14:paraId="25279B2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库存持有成本增加15%-25%</w:t>
            </w:r>
          </w:p>
        </w:tc>
      </w:tr>
      <w:tr w14:paraId="05DAAA89">
        <w:tblPrEx>
          <w:tblBorders>
            <w:top w:val="single" w:color="E0E0E0" w:sz="4" w:space="0"/>
            <w:left w:val="single" w:color="E0E0E0" w:sz="4" w:space="0"/>
            <w:bottom w:val="single" w:color="E0E0E0" w:sz="4" w:space="0"/>
            <w:right w:val="single" w:color="E0E0E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0E0E0" w:sz="4" w:space="0"/>
              <w:left w:val="single" w:color="E0E0E0" w:sz="4" w:space="0"/>
              <w:bottom w:val="single" w:color="E0E0E0" w:sz="4" w:space="0"/>
              <w:right w:val="single" w:color="E0E0E0" w:sz="4" w:space="0"/>
            </w:tcBorders>
            <w:shd w:val="clear" w:color="auto" w:fill="auto"/>
            <w:tcMar>
              <w:top w:w="129" w:type="dxa"/>
              <w:bottom w:w="129" w:type="dxa"/>
              <w:right w:w="154" w:type="dxa"/>
            </w:tcMar>
            <w:vAlign w:val="center"/>
          </w:tcPr>
          <w:p w14:paraId="27BEA43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rStyle w:val="7"/>
                <w:rFonts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运输操作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​</w:t>
            </w:r>
          </w:p>
        </w:tc>
        <w:tc>
          <w:tcPr>
            <w:tcW w:w="0" w:type="auto"/>
            <w:tcBorders>
              <w:top w:val="single" w:color="E0E0E0" w:sz="4" w:space="0"/>
              <w:left w:val="single" w:color="E0E0E0" w:sz="4" w:space="0"/>
              <w:bottom w:val="single" w:color="E0E0E0" w:sz="4" w:space="0"/>
              <w:right w:val="single" w:color="E0E0E0" w:sz="4" w:space="0"/>
            </w:tcBorders>
            <w:shd w:val="clear" w:color="auto" w:fill="auto"/>
            <w:tcMar>
              <w:top w:w="129" w:type="dxa"/>
              <w:bottom w:w="129" w:type="dxa"/>
              <w:right w:w="154" w:type="dxa"/>
            </w:tcMar>
            <w:vAlign w:val="center"/>
          </w:tcPr>
          <w:p w14:paraId="5653810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运输计划不稳定、紧急运输增加</w:t>
            </w:r>
          </w:p>
        </w:tc>
        <w:tc>
          <w:tcPr>
            <w:tcW w:w="0" w:type="auto"/>
            <w:tcBorders>
              <w:top w:val="single" w:color="E0E0E0" w:sz="4" w:space="0"/>
              <w:left w:val="single" w:color="E0E0E0" w:sz="4" w:space="0"/>
              <w:bottom w:val="single" w:color="E0E0E0" w:sz="4" w:space="0"/>
              <w:right w:val="single" w:color="E0E0E0" w:sz="4" w:space="0"/>
            </w:tcBorders>
            <w:shd w:val="clear" w:color="auto" w:fill="auto"/>
            <w:tcMar>
              <w:top w:w="129" w:type="dxa"/>
              <w:bottom w:w="129" w:type="dxa"/>
              <w:right w:w="154" w:type="dxa"/>
            </w:tcMar>
            <w:vAlign w:val="center"/>
          </w:tcPr>
          <w:p w14:paraId="067EFEF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运输成本增加10%-20%</w:t>
            </w:r>
          </w:p>
        </w:tc>
      </w:tr>
      <w:tr w14:paraId="5371F205">
        <w:tblPrEx>
          <w:tblBorders>
            <w:top w:val="single" w:color="E0E0E0" w:sz="4" w:space="0"/>
            <w:left w:val="single" w:color="E0E0E0" w:sz="4" w:space="0"/>
            <w:bottom w:val="single" w:color="E0E0E0" w:sz="4" w:space="0"/>
            <w:right w:val="single" w:color="E0E0E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0E0E0" w:sz="4" w:space="0"/>
              <w:left w:val="single" w:color="E0E0E0" w:sz="4" w:space="0"/>
              <w:bottom w:val="single" w:color="E0E0E0" w:sz="4" w:space="0"/>
              <w:right w:val="single" w:color="E0E0E0" w:sz="4" w:space="0"/>
            </w:tcBorders>
            <w:shd w:val="clear" w:color="auto" w:fill="auto"/>
            <w:tcMar>
              <w:top w:w="129" w:type="dxa"/>
              <w:bottom w:w="129" w:type="dxa"/>
              <w:right w:w="154" w:type="dxa"/>
            </w:tcMar>
            <w:vAlign w:val="center"/>
          </w:tcPr>
          <w:p w14:paraId="3D46E77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rStyle w:val="7"/>
                <w:rFonts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仓储作业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​</w:t>
            </w:r>
          </w:p>
        </w:tc>
        <w:tc>
          <w:tcPr>
            <w:tcW w:w="0" w:type="auto"/>
            <w:tcBorders>
              <w:top w:val="single" w:color="E0E0E0" w:sz="4" w:space="0"/>
              <w:left w:val="single" w:color="E0E0E0" w:sz="4" w:space="0"/>
              <w:bottom w:val="single" w:color="E0E0E0" w:sz="4" w:space="0"/>
              <w:right w:val="single" w:color="E0E0E0" w:sz="4" w:space="0"/>
            </w:tcBorders>
            <w:shd w:val="clear" w:color="auto" w:fill="auto"/>
            <w:tcMar>
              <w:top w:w="129" w:type="dxa"/>
              <w:bottom w:w="129" w:type="dxa"/>
              <w:right w:w="154" w:type="dxa"/>
            </w:tcMar>
            <w:vAlign w:val="center"/>
          </w:tcPr>
          <w:p w14:paraId="0384FAC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作业量波动大、空间利用率低</w:t>
            </w:r>
          </w:p>
        </w:tc>
        <w:tc>
          <w:tcPr>
            <w:tcW w:w="0" w:type="auto"/>
            <w:tcBorders>
              <w:top w:val="single" w:color="E0E0E0" w:sz="4" w:space="0"/>
              <w:left w:val="single" w:color="E0E0E0" w:sz="4" w:space="0"/>
              <w:bottom w:val="single" w:color="E0E0E0" w:sz="4" w:space="0"/>
              <w:right w:val="single" w:color="E0E0E0" w:sz="4" w:space="0"/>
            </w:tcBorders>
            <w:shd w:val="clear" w:color="auto" w:fill="auto"/>
            <w:tcMar>
              <w:top w:w="129" w:type="dxa"/>
              <w:bottom w:w="129" w:type="dxa"/>
              <w:right w:w="154" w:type="dxa"/>
            </w:tcMar>
            <w:vAlign w:val="center"/>
          </w:tcPr>
          <w:p w14:paraId="017BF95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仓储成本增加8%-15%</w:t>
            </w:r>
          </w:p>
        </w:tc>
      </w:tr>
      <w:tr w14:paraId="756B5B3E">
        <w:tblPrEx>
          <w:tblBorders>
            <w:top w:val="single" w:color="E0E0E0" w:sz="4" w:space="0"/>
            <w:left w:val="single" w:color="E0E0E0" w:sz="4" w:space="0"/>
            <w:bottom w:val="single" w:color="E0E0E0" w:sz="4" w:space="0"/>
            <w:right w:val="single" w:color="E0E0E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0E0E0" w:sz="4" w:space="0"/>
              <w:left w:val="single" w:color="E0E0E0" w:sz="4" w:space="0"/>
              <w:bottom w:val="single" w:color="E0E0E0" w:sz="4" w:space="0"/>
              <w:right w:val="single" w:color="E0E0E0" w:sz="4" w:space="0"/>
            </w:tcBorders>
            <w:shd w:val="clear" w:color="auto" w:fill="auto"/>
            <w:tcMar>
              <w:top w:w="129" w:type="dxa"/>
              <w:bottom w:w="129" w:type="dxa"/>
              <w:right w:w="154" w:type="dxa"/>
            </w:tcMar>
            <w:vAlign w:val="center"/>
          </w:tcPr>
          <w:p w14:paraId="7FE8A4D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rStyle w:val="7"/>
                <w:rFonts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信息处理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​</w:t>
            </w:r>
          </w:p>
        </w:tc>
        <w:tc>
          <w:tcPr>
            <w:tcW w:w="0" w:type="auto"/>
            <w:tcBorders>
              <w:top w:val="single" w:color="E0E0E0" w:sz="4" w:space="0"/>
              <w:left w:val="single" w:color="E0E0E0" w:sz="4" w:space="0"/>
              <w:bottom w:val="single" w:color="E0E0E0" w:sz="4" w:space="0"/>
              <w:right w:val="single" w:color="E0E0E0" w:sz="4" w:space="0"/>
            </w:tcBorders>
            <w:shd w:val="clear" w:color="auto" w:fill="auto"/>
            <w:tcMar>
              <w:top w:w="129" w:type="dxa"/>
              <w:bottom w:w="129" w:type="dxa"/>
              <w:right w:w="154" w:type="dxa"/>
            </w:tcMar>
            <w:vAlign w:val="center"/>
          </w:tcPr>
          <w:p w14:paraId="582D25D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信息错误率上升、协调工作量增加</w:t>
            </w:r>
          </w:p>
        </w:tc>
        <w:tc>
          <w:tcPr>
            <w:tcW w:w="0" w:type="auto"/>
            <w:tcBorders>
              <w:top w:val="single" w:color="E0E0E0" w:sz="4" w:space="0"/>
              <w:left w:val="single" w:color="E0E0E0" w:sz="4" w:space="0"/>
              <w:bottom w:val="single" w:color="E0E0E0" w:sz="4" w:space="0"/>
              <w:right w:val="single" w:color="E0E0E0" w:sz="4" w:space="0"/>
            </w:tcBorders>
            <w:shd w:val="clear" w:color="auto" w:fill="auto"/>
            <w:tcMar>
              <w:top w:w="129" w:type="dxa"/>
              <w:bottom w:w="129" w:type="dxa"/>
              <w:right w:w="154" w:type="dxa"/>
            </w:tcMar>
            <w:vAlign w:val="center"/>
          </w:tcPr>
          <w:p w14:paraId="6B1D1F9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管理成本增加5%-10%</w:t>
            </w:r>
          </w:p>
        </w:tc>
      </w:tr>
      <w:tr w14:paraId="523F733A">
        <w:tblPrEx>
          <w:tblBorders>
            <w:top w:val="single" w:color="E0E0E0" w:sz="4" w:space="0"/>
            <w:left w:val="single" w:color="E0E0E0" w:sz="4" w:space="0"/>
            <w:bottom w:val="single" w:color="E0E0E0" w:sz="4" w:space="0"/>
            <w:right w:val="single" w:color="E0E0E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0E0E0" w:sz="4" w:space="0"/>
              <w:left w:val="single" w:color="E0E0E0" w:sz="4" w:space="0"/>
              <w:bottom w:val="single" w:color="E0E0E0" w:sz="4" w:space="0"/>
              <w:right w:val="single" w:color="E0E0E0" w:sz="4" w:space="0"/>
            </w:tcBorders>
            <w:shd w:val="clear" w:color="auto" w:fill="auto"/>
            <w:tcMar>
              <w:top w:w="129" w:type="dxa"/>
              <w:bottom w:w="129" w:type="dxa"/>
              <w:right w:w="154" w:type="dxa"/>
            </w:tcMar>
            <w:vAlign w:val="center"/>
          </w:tcPr>
          <w:p w14:paraId="220F781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rStyle w:val="7"/>
                <w:rFonts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整体物流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​</w:t>
            </w:r>
          </w:p>
        </w:tc>
        <w:tc>
          <w:tcPr>
            <w:tcW w:w="0" w:type="auto"/>
            <w:tcBorders>
              <w:top w:val="single" w:color="E0E0E0" w:sz="4" w:space="0"/>
              <w:left w:val="single" w:color="E0E0E0" w:sz="4" w:space="0"/>
              <w:bottom w:val="single" w:color="E0E0E0" w:sz="4" w:space="0"/>
              <w:right w:val="single" w:color="E0E0E0" w:sz="4" w:space="0"/>
            </w:tcBorders>
            <w:shd w:val="clear" w:color="auto" w:fill="auto"/>
            <w:tcMar>
              <w:top w:w="129" w:type="dxa"/>
              <w:bottom w:w="129" w:type="dxa"/>
              <w:right w:w="154" w:type="dxa"/>
            </w:tcMar>
            <w:vAlign w:val="center"/>
          </w:tcPr>
          <w:p w14:paraId="71B6061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系统效率降低、响应速度减慢</w:t>
            </w:r>
          </w:p>
        </w:tc>
        <w:tc>
          <w:tcPr>
            <w:tcW w:w="0" w:type="auto"/>
            <w:tcBorders>
              <w:top w:val="single" w:color="E0E0E0" w:sz="4" w:space="0"/>
              <w:left w:val="single" w:color="E0E0E0" w:sz="4" w:space="0"/>
              <w:bottom w:val="single" w:color="E0E0E0" w:sz="4" w:space="0"/>
              <w:right w:val="single" w:color="E0E0E0" w:sz="4" w:space="0"/>
            </w:tcBorders>
            <w:shd w:val="clear" w:color="auto" w:fill="auto"/>
            <w:tcMar>
              <w:top w:w="129" w:type="dxa"/>
              <w:bottom w:w="129" w:type="dxa"/>
              <w:right w:w="154" w:type="dxa"/>
            </w:tcMar>
            <w:vAlign w:val="center"/>
          </w:tcPr>
          <w:p w14:paraId="29E3254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总物流成本增加12%-20%</w:t>
            </w:r>
          </w:p>
        </w:tc>
      </w:tr>
    </w:tbl>
    <w:p w14:paraId="35B798E3">
      <w:pPr>
        <w:pStyle w:val="3"/>
        <w:keepNext w:val="0"/>
        <w:keepLines w:val="0"/>
        <w:widowControl/>
        <w:suppressLineNumbers w:val="0"/>
      </w:pPr>
      <w:r>
        <w:t xml:space="preserve">4 减少牛鞭效应的策略 </w:t>
      </w:r>
    </w:p>
    <w:p w14:paraId="24CFDA21">
      <w:pPr>
        <w:pStyle w:val="4"/>
        <w:keepNext w:val="0"/>
        <w:keepLines w:val="0"/>
        <w:widowControl/>
        <w:suppressLineNumbers w:val="0"/>
      </w:pPr>
      <w:r>
        <w:t xml:space="preserve">4.1 加强信息共享与透明度 </w:t>
      </w:r>
    </w:p>
    <w:p w14:paraId="426DBD1D">
      <w:pPr>
        <w:keepNext w:val="0"/>
        <w:keepLines w:val="0"/>
        <w:widowControl/>
        <w:suppressLineNumbers w:val="0"/>
        <w:jc w:val="left"/>
        <w:rPr>
          <w:b w:val="0"/>
          <w:bCs/>
          <w:sz w:val="24"/>
          <w:szCs w:val="24"/>
        </w:rPr>
      </w:pPr>
      <w:r>
        <w:rPr>
          <w:rStyle w:val="7"/>
          <w:rFonts w:ascii="宋体" w:hAnsi="宋体" w:eastAsia="宋体" w:cs="宋体"/>
          <w:b w:val="0"/>
          <w:bCs/>
          <w:kern w:val="0"/>
          <w:sz w:val="24"/>
          <w:szCs w:val="24"/>
          <w:lang w:val="en-US" w:eastAsia="zh-CN" w:bidi="ar"/>
        </w:rPr>
        <w:t>信息共享</w:t>
      </w:r>
      <w:r>
        <w:rPr>
          <w:rFonts w:ascii="宋体" w:hAnsi="宋体" w:eastAsia="宋体" w:cs="宋体"/>
          <w:b w:val="0"/>
          <w:bCs/>
          <w:kern w:val="0"/>
          <w:sz w:val="24"/>
          <w:szCs w:val="24"/>
          <w:lang w:val="en-US" w:eastAsia="zh-CN" w:bidi="ar"/>
        </w:rPr>
        <w:t>是克服牛鞭效应最有效的方法之一。通过共享最终客户的实际销售数据，供应链各环节基于相同信息基础预测和决策。具体措施包括：</w:t>
      </w:r>
    </w:p>
    <w:p w14:paraId="6B2B88EF">
      <w:pPr>
        <w:keepNext w:val="0"/>
        <w:keepLines w:val="0"/>
        <w:widowControl/>
        <w:suppressLineNumbers w:val="0"/>
        <w:ind w:left="720"/>
        <w:jc w:val="left"/>
        <w:rPr>
          <w:rFonts w:ascii="宋体" w:hAnsi="宋体" w:eastAsia="宋体" w:cs="宋体"/>
          <w:b w:val="0"/>
          <w:bCs/>
          <w:kern w:val="0"/>
          <w:sz w:val="24"/>
          <w:szCs w:val="24"/>
          <w:lang w:val="en-US" w:eastAsia="zh-CN" w:bidi="ar"/>
        </w:rPr>
      </w:pPr>
      <w:r>
        <w:rPr>
          <w:rStyle w:val="7"/>
          <w:rFonts w:ascii="宋体" w:hAnsi="宋体" w:eastAsia="宋体" w:cs="宋体"/>
          <w:b w:val="0"/>
          <w:bCs/>
          <w:kern w:val="0"/>
          <w:sz w:val="24"/>
          <w:szCs w:val="24"/>
          <w:lang w:val="en-US" w:eastAsia="zh-CN" w:bidi="ar"/>
        </w:rPr>
        <w:t>建立供应链信息平台</w:t>
      </w:r>
      <w:r>
        <w:rPr>
          <w:rFonts w:ascii="宋体" w:hAnsi="宋体" w:eastAsia="宋体" w:cs="宋体"/>
          <w:b w:val="0"/>
          <w:bCs/>
          <w:kern w:val="0"/>
          <w:sz w:val="24"/>
          <w:szCs w:val="24"/>
          <w:lang w:val="en-US" w:eastAsia="zh-CN" w:bidi="ar"/>
        </w:rPr>
        <w:t>：利用信息技术实现数据实时共享。例如，宝洁公司要求分销商共享零售商中央仓库出库数据，使上游更准确了解市场实际需求。</w:t>
      </w:r>
    </w:p>
    <w:p w14:paraId="0F582B21">
      <w:pPr>
        <w:keepNext w:val="0"/>
        <w:keepLines w:val="0"/>
        <w:widowControl/>
        <w:suppressLineNumbers w:val="0"/>
        <w:ind w:left="720"/>
        <w:jc w:val="left"/>
        <w:rPr>
          <w:b w:val="0"/>
          <w:bCs/>
          <w:sz w:val="24"/>
          <w:szCs w:val="24"/>
        </w:rPr>
      </w:pPr>
      <w:r>
        <w:rPr>
          <w:rStyle w:val="7"/>
          <w:rFonts w:ascii="宋体" w:hAnsi="宋体" w:eastAsia="宋体" w:cs="宋体"/>
          <w:b w:val="0"/>
          <w:bCs/>
          <w:kern w:val="0"/>
          <w:sz w:val="24"/>
          <w:szCs w:val="24"/>
          <w:lang w:val="en-US" w:eastAsia="zh-CN" w:bidi="ar"/>
        </w:rPr>
        <w:t>实施供应商管理库存</w:t>
      </w:r>
      <w:r>
        <w:rPr>
          <w:rFonts w:ascii="宋体" w:hAnsi="宋体" w:eastAsia="宋体" w:cs="宋体"/>
          <w:b w:val="0"/>
          <w:bCs/>
          <w:kern w:val="0"/>
          <w:sz w:val="24"/>
          <w:szCs w:val="24"/>
          <w:lang w:val="en-US" w:eastAsia="zh-CN" w:bidi="ar"/>
        </w:rPr>
        <w:t>：由供应商监控客户库存水平并主动补货，基于实际消费数据而非订单数据决策。VMI能有效减少批量订货和预测偏差导致的需求放大。</w:t>
      </w:r>
    </w:p>
    <w:p w14:paraId="7F4C88DD">
      <w:pPr>
        <w:keepNext w:val="0"/>
        <w:keepLines w:val="0"/>
        <w:widowControl/>
        <w:suppressLineNumbers w:val="0"/>
        <w:ind w:left="720"/>
        <w:jc w:val="left"/>
        <w:rPr>
          <w:b w:val="0"/>
          <w:bCs/>
          <w:sz w:val="24"/>
          <w:szCs w:val="24"/>
        </w:rPr>
      </w:pPr>
      <w:r>
        <w:rPr>
          <w:rStyle w:val="7"/>
          <w:rFonts w:ascii="宋体" w:hAnsi="宋体" w:eastAsia="宋体" w:cs="宋体"/>
          <w:b w:val="0"/>
          <w:bCs/>
          <w:kern w:val="0"/>
          <w:sz w:val="24"/>
          <w:szCs w:val="24"/>
          <w:lang w:val="en-US" w:eastAsia="zh-CN" w:bidi="ar"/>
        </w:rPr>
        <w:t>采用协同预测、计划与补货</w:t>
      </w:r>
      <w:r>
        <w:rPr>
          <w:rFonts w:ascii="宋体" w:hAnsi="宋体" w:eastAsia="宋体" w:cs="宋体"/>
          <w:b w:val="0"/>
          <w:bCs/>
          <w:kern w:val="0"/>
          <w:sz w:val="24"/>
          <w:szCs w:val="24"/>
          <w:lang w:val="en-US" w:eastAsia="zh-CN" w:bidi="ar"/>
        </w:rPr>
        <w:t>：供应链伙伴共同进行需求预测和制定计划，通过协商解决预测分歧。CPFR能将需求预测准确性提高20%-30%，显著降低库存水平和缺货率。</w:t>
      </w:r>
    </w:p>
    <w:p w14:paraId="278CB3C5">
      <w:pPr>
        <w:pStyle w:val="4"/>
        <w:keepNext w:val="0"/>
        <w:keepLines w:val="0"/>
        <w:widowControl/>
        <w:suppressLineNumbers w:val="0"/>
      </w:pPr>
      <w:r>
        <w:t xml:space="preserve">4.2 优化供应链流程与结构 </w:t>
      </w:r>
    </w:p>
    <w:p w14:paraId="3E9FE53A">
      <w:pPr>
        <w:keepNext w:val="0"/>
        <w:keepLines w:val="0"/>
        <w:widowControl/>
        <w:suppressLineNumbers w:val="0"/>
        <w:jc w:val="left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简化供应链</w:t>
      </w:r>
      <w:r>
        <w:rPr>
          <w:rStyle w:val="7"/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流程和结构</w:t>
      </w: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可缩短信息流动路径，减少信息扭曲机会。具体方法包括：</w:t>
      </w:r>
    </w:p>
    <w:p w14:paraId="3211F501">
      <w:pPr>
        <w:keepNext w:val="0"/>
        <w:keepLines w:val="0"/>
        <w:widowControl/>
        <w:suppressLineNumbers w:val="0"/>
        <w:ind w:left="720"/>
        <w:jc w:val="left"/>
        <w:rPr>
          <w:b w:val="0"/>
          <w:bCs w:val="0"/>
          <w:sz w:val="24"/>
          <w:szCs w:val="24"/>
        </w:rPr>
      </w:pPr>
      <w:r>
        <w:rPr>
          <w:rStyle w:val="7"/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缩短提前期</w:t>
      </w: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：通过流程改进、本地化供应或精益生产缩短采购和生产提前期。提前期缩短50%，需求波动可降低30%以上。</w:t>
      </w:r>
    </w:p>
    <w:p w14:paraId="24A1D932">
      <w:pPr>
        <w:keepNext w:val="0"/>
        <w:keepLines w:val="0"/>
        <w:widowControl/>
        <w:suppressLineNumbers w:val="0"/>
        <w:ind w:left="720"/>
        <w:jc w:val="left"/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</w:pPr>
      <w:r>
        <w:rPr>
          <w:rStyle w:val="7"/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减少批量规模</w:t>
      </w: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：采用小批量、多批次订货和运输方式，降低供应链中的“脉冲式”需求。这需与物流服务提供商协商更灵活运输方案，优化订货成本结构。</w:t>
      </w:r>
    </w:p>
    <w:p w14:paraId="211ACD74">
      <w:pPr>
        <w:keepNext w:val="0"/>
        <w:keepLines w:val="0"/>
        <w:widowControl/>
        <w:suppressLineNumbers w:val="0"/>
        <w:ind w:left="720"/>
        <w:jc w:val="left"/>
        <w:rPr>
          <w:b w:val="0"/>
          <w:bCs w:val="0"/>
          <w:sz w:val="24"/>
          <w:szCs w:val="24"/>
        </w:rPr>
      </w:pPr>
      <w:r>
        <w:rPr>
          <w:rStyle w:val="7"/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重构供应链网络</w:t>
      </w: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：合理规划供应链结构，减少不必要中间环节。例如，戴尔通过直销模式直接面向消费者，避免传统分销渠道中的需求放大。</w:t>
      </w:r>
    </w:p>
    <w:p w14:paraId="35D216A0">
      <w:pPr>
        <w:pStyle w:val="4"/>
        <w:keepNext w:val="0"/>
        <w:keepLines w:val="0"/>
        <w:widowControl/>
        <w:suppressLineNumbers w:val="0"/>
      </w:pPr>
      <w:r>
        <w:t xml:space="preserve">4.3 协调供应链伙伴关系 </w:t>
      </w:r>
    </w:p>
    <w:p w14:paraId="0F5D47DD">
      <w:pPr>
        <w:keepNext w:val="0"/>
        <w:keepLines w:val="0"/>
        <w:widowControl/>
        <w:suppressLineNumbers w:val="0"/>
        <w:jc w:val="left"/>
        <w:rPr>
          <w:b w:val="0"/>
          <w:bCs w:val="0"/>
          <w:sz w:val="24"/>
          <w:szCs w:val="24"/>
        </w:rPr>
      </w:pPr>
      <w:r>
        <w:rPr>
          <w:rStyle w:val="7"/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伙伴关系</w:t>
      </w: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和</w:t>
      </w:r>
      <w:r>
        <w:rPr>
          <w:rStyle w:val="7"/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激励机制</w:t>
      </w: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的协调对减少牛鞭效应至关重要。具体策略包括：</w:t>
      </w:r>
    </w:p>
    <w:p w14:paraId="40682F99">
      <w:pPr>
        <w:keepNext w:val="0"/>
        <w:keepLines w:val="0"/>
        <w:widowControl/>
        <w:suppressLineNumbers w:val="0"/>
        <w:ind w:left="720"/>
        <w:jc w:val="left"/>
        <w:rPr>
          <w:b w:val="0"/>
          <w:bCs w:val="0"/>
          <w:sz w:val="24"/>
          <w:szCs w:val="24"/>
        </w:rPr>
      </w:pPr>
      <w:r>
        <w:rPr>
          <w:rStyle w:val="7"/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建立合理库存责任机制</w:t>
      </w: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：通过合同明确各方在库存管理中的责任和风险分担。联合库存管理是一种风险共担模式，实现利益共享。</w:t>
      </w:r>
    </w:p>
    <w:p w14:paraId="7E3A0312">
      <w:pPr>
        <w:keepNext w:val="0"/>
        <w:keepLines w:val="0"/>
        <w:widowControl/>
        <w:suppressLineNumbers w:val="0"/>
        <w:ind w:left="720"/>
        <w:jc w:val="left"/>
        <w:rPr>
          <w:b w:val="0"/>
          <w:bCs w:val="0"/>
          <w:sz w:val="24"/>
          <w:szCs w:val="24"/>
        </w:rPr>
      </w:pPr>
      <w:r>
        <w:rPr>
          <w:rStyle w:val="7"/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稳定价格策略</w:t>
      </w: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：减少短期促销和价格波动，采用天天低价策略。如沃尔玛对部分产品实施稳定定价，有效平抑订单波动。</w:t>
      </w:r>
    </w:p>
    <w:p w14:paraId="552AE492">
      <w:pPr>
        <w:keepNext w:val="0"/>
        <w:keepLines w:val="0"/>
        <w:widowControl/>
        <w:suppressLineNumbers w:val="0"/>
        <w:ind w:left="720"/>
        <w:jc w:val="left"/>
        <w:rPr>
          <w:b w:val="0"/>
          <w:bCs w:val="0"/>
          <w:sz w:val="24"/>
          <w:szCs w:val="24"/>
        </w:rPr>
      </w:pPr>
      <w:r>
        <w:rPr>
          <w:rStyle w:val="7"/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实施供应商分级管理</w:t>
      </w: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：根据销售商重要性分类管理，优先保证关键伙伴稳定供应。按照帕累托定律，重点管理贡献80%销量的20%关键客户，有效控制总体波动。</w:t>
      </w:r>
    </w:p>
    <w:p w14:paraId="1F430791">
      <w:pPr>
        <w:pStyle w:val="4"/>
        <w:keepNext w:val="0"/>
        <w:keepLines w:val="0"/>
        <w:widowControl/>
        <w:suppressLineNumbers w:val="0"/>
      </w:pPr>
      <w:r>
        <w:t xml:space="preserve">4.4 巴里拉公司的案例分析 </w:t>
      </w:r>
    </w:p>
    <w:p w14:paraId="7B69796A">
      <w:pPr>
        <w:keepNext w:val="0"/>
        <w:keepLines w:val="0"/>
        <w:widowControl/>
        <w:suppressLineNumbers w:val="0"/>
        <w:jc w:val="left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巴里拉公司作为世界最大通心面生产商，在20世纪90年代面临牛鞭效应的严峻挑战。其物流主管乔治·马贾利试图推行准时配送模式，即巴里拉根据销售数据直接决定配送时间和数量，而非被动接受分销商订单。</w:t>
      </w:r>
    </w:p>
    <w:p w14:paraId="591F2A34">
      <w:pPr>
        <w:keepNext w:val="0"/>
        <w:keepLines w:val="0"/>
        <w:widowControl/>
        <w:suppressLineNumbers w:val="0"/>
        <w:jc w:val="left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这一创新思路遭遇了巨大阻力：分销商不愿放弃订货自主权，公司内部销售和营销组织也认为该想法不可行或危险。这一案例说明，</w:t>
      </w:r>
      <w:r>
        <w:rPr>
          <w:rStyle w:val="7"/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技术解决方案</w:t>
      </w: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必须与</w:t>
      </w:r>
      <w:r>
        <w:rPr>
          <w:rStyle w:val="7"/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组织变革</w:t>
      </w: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和</w:t>
      </w:r>
      <w:r>
        <w:rPr>
          <w:rStyle w:val="7"/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伙伴关系重建</w:t>
      </w: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相结合，才能有效应对牛鞭效应。</w:t>
      </w:r>
    </w:p>
    <w:p w14:paraId="7357D746">
      <w:pPr>
        <w:keepNext w:val="0"/>
        <w:keepLines w:val="0"/>
        <w:widowControl/>
        <w:suppressLineNumbers w:val="0"/>
        <w:jc w:val="left"/>
        <w:rPr>
          <w:b w:val="0"/>
          <w:bCs w:val="0"/>
          <w:sz w:val="24"/>
          <w:szCs w:val="24"/>
        </w:rPr>
      </w:pPr>
      <w:r>
        <w:rPr>
          <w:rStyle w:val="8"/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表3：减少牛鞭效应的主要策略与实施要点</w:t>
      </w:r>
    </w:p>
    <w:tbl>
      <w:tblPr>
        <w:tblStyle w:val="5"/>
        <w:tblW w:w="0" w:type="auto"/>
        <w:tblInd w:w="0" w:type="dxa"/>
        <w:tblBorders>
          <w:top w:val="single" w:color="E0E0E0" w:sz="4" w:space="0"/>
          <w:left w:val="single" w:color="E0E0E0" w:sz="4" w:space="0"/>
          <w:bottom w:val="single" w:color="E0E0E0" w:sz="4" w:space="0"/>
          <w:right w:val="single" w:color="E0E0E0" w:sz="4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59"/>
        <w:gridCol w:w="3519"/>
        <w:gridCol w:w="3219"/>
      </w:tblGrid>
      <w:tr w14:paraId="6AB76D1F">
        <w:tblPrEx>
          <w:tblBorders>
            <w:top w:val="single" w:color="E0E0E0" w:sz="4" w:space="0"/>
            <w:left w:val="single" w:color="E0E0E0" w:sz="4" w:space="0"/>
            <w:bottom w:val="single" w:color="E0E0E0" w:sz="4" w:space="0"/>
            <w:right w:val="single" w:color="E0E0E0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0" w:type="auto"/>
            <w:tcBorders>
              <w:top w:val="single" w:color="E0E0E0" w:sz="4" w:space="0"/>
              <w:left w:val="single" w:color="E0E0E0" w:sz="4" w:space="0"/>
              <w:bottom w:val="single" w:color="E0E0E0" w:sz="4" w:space="0"/>
              <w:right w:val="single" w:color="E0E0E0" w:sz="4" w:space="0"/>
            </w:tcBorders>
            <w:shd w:val="clear" w:color="auto" w:fill="auto"/>
            <w:tcMar>
              <w:top w:w="129" w:type="dxa"/>
              <w:bottom w:w="129" w:type="dxa"/>
              <w:right w:w="154" w:type="dxa"/>
            </w:tcMar>
            <w:vAlign w:val="center"/>
          </w:tcPr>
          <w:p w14:paraId="2A134D1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rStyle w:val="7"/>
                <w:rFonts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策略类型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​</w:t>
            </w:r>
          </w:p>
        </w:tc>
        <w:tc>
          <w:tcPr>
            <w:tcW w:w="0" w:type="auto"/>
            <w:tcBorders>
              <w:top w:val="single" w:color="E0E0E0" w:sz="4" w:space="0"/>
              <w:left w:val="single" w:color="E0E0E0" w:sz="4" w:space="0"/>
              <w:bottom w:val="single" w:color="E0E0E0" w:sz="4" w:space="0"/>
              <w:right w:val="single" w:color="E0E0E0" w:sz="4" w:space="0"/>
            </w:tcBorders>
            <w:shd w:val="clear" w:color="auto" w:fill="auto"/>
            <w:tcMar>
              <w:top w:w="129" w:type="dxa"/>
              <w:bottom w:w="129" w:type="dxa"/>
              <w:right w:w="154" w:type="dxa"/>
            </w:tcMar>
            <w:vAlign w:val="center"/>
          </w:tcPr>
          <w:p w14:paraId="66292FD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rStyle w:val="7"/>
                <w:rFonts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具体措施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​</w:t>
            </w:r>
          </w:p>
        </w:tc>
        <w:tc>
          <w:tcPr>
            <w:tcW w:w="0" w:type="auto"/>
            <w:tcBorders>
              <w:top w:val="single" w:color="E0E0E0" w:sz="4" w:space="0"/>
              <w:left w:val="single" w:color="E0E0E0" w:sz="4" w:space="0"/>
              <w:bottom w:val="single" w:color="E0E0E0" w:sz="4" w:space="0"/>
              <w:right w:val="single" w:color="E0E0E0" w:sz="4" w:space="0"/>
            </w:tcBorders>
            <w:shd w:val="clear" w:color="auto" w:fill="auto"/>
            <w:tcMar>
              <w:top w:w="129" w:type="dxa"/>
              <w:bottom w:w="129" w:type="dxa"/>
              <w:right w:w="154" w:type="dxa"/>
            </w:tcMar>
            <w:vAlign w:val="center"/>
          </w:tcPr>
          <w:p w14:paraId="0413601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rStyle w:val="7"/>
                <w:rFonts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预期效果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​</w:t>
            </w:r>
          </w:p>
        </w:tc>
      </w:tr>
      <w:tr w14:paraId="79FA2E08">
        <w:tblPrEx>
          <w:tblBorders>
            <w:top w:val="single" w:color="E0E0E0" w:sz="4" w:space="0"/>
            <w:left w:val="single" w:color="E0E0E0" w:sz="4" w:space="0"/>
            <w:bottom w:val="single" w:color="E0E0E0" w:sz="4" w:space="0"/>
            <w:right w:val="single" w:color="E0E0E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0E0E0" w:sz="4" w:space="0"/>
              <w:left w:val="single" w:color="E0E0E0" w:sz="4" w:space="0"/>
              <w:bottom w:val="single" w:color="E0E0E0" w:sz="4" w:space="0"/>
              <w:right w:val="single" w:color="E0E0E0" w:sz="4" w:space="0"/>
            </w:tcBorders>
            <w:shd w:val="clear" w:color="auto" w:fill="auto"/>
            <w:tcMar>
              <w:top w:w="129" w:type="dxa"/>
              <w:bottom w:w="129" w:type="dxa"/>
              <w:right w:w="154" w:type="dxa"/>
            </w:tcMar>
            <w:vAlign w:val="center"/>
          </w:tcPr>
          <w:p w14:paraId="1021643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rStyle w:val="7"/>
                <w:rFonts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信息共享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​</w:t>
            </w:r>
          </w:p>
        </w:tc>
        <w:tc>
          <w:tcPr>
            <w:tcW w:w="0" w:type="auto"/>
            <w:tcBorders>
              <w:top w:val="single" w:color="E0E0E0" w:sz="4" w:space="0"/>
              <w:left w:val="single" w:color="E0E0E0" w:sz="4" w:space="0"/>
              <w:bottom w:val="single" w:color="E0E0E0" w:sz="4" w:space="0"/>
              <w:right w:val="single" w:color="E0E0E0" w:sz="4" w:space="0"/>
            </w:tcBorders>
            <w:shd w:val="clear" w:color="auto" w:fill="auto"/>
            <w:tcMar>
              <w:top w:w="129" w:type="dxa"/>
              <w:bottom w:w="129" w:type="dxa"/>
              <w:right w:w="154" w:type="dxa"/>
            </w:tcMar>
            <w:vAlign w:val="center"/>
          </w:tcPr>
          <w:p w14:paraId="4AECEBE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VMI、CPFR、信息平台</w:t>
            </w:r>
          </w:p>
        </w:tc>
        <w:tc>
          <w:tcPr>
            <w:tcW w:w="0" w:type="auto"/>
            <w:tcBorders>
              <w:top w:val="single" w:color="E0E0E0" w:sz="4" w:space="0"/>
              <w:left w:val="single" w:color="E0E0E0" w:sz="4" w:space="0"/>
              <w:bottom w:val="single" w:color="E0E0E0" w:sz="4" w:space="0"/>
              <w:right w:val="single" w:color="E0E0E0" w:sz="4" w:space="0"/>
            </w:tcBorders>
            <w:shd w:val="clear" w:color="auto" w:fill="auto"/>
            <w:tcMar>
              <w:top w:w="129" w:type="dxa"/>
              <w:bottom w:w="129" w:type="dxa"/>
              <w:right w:w="154" w:type="dxa"/>
            </w:tcMar>
            <w:vAlign w:val="center"/>
          </w:tcPr>
          <w:p w14:paraId="7BC3DFC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需求预测准确性提高20%-30%</w:t>
            </w:r>
          </w:p>
        </w:tc>
      </w:tr>
      <w:tr w14:paraId="320F8115">
        <w:tblPrEx>
          <w:tblBorders>
            <w:top w:val="single" w:color="E0E0E0" w:sz="4" w:space="0"/>
            <w:left w:val="single" w:color="E0E0E0" w:sz="4" w:space="0"/>
            <w:bottom w:val="single" w:color="E0E0E0" w:sz="4" w:space="0"/>
            <w:right w:val="single" w:color="E0E0E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0E0E0" w:sz="4" w:space="0"/>
              <w:left w:val="single" w:color="E0E0E0" w:sz="4" w:space="0"/>
              <w:bottom w:val="single" w:color="E0E0E0" w:sz="4" w:space="0"/>
              <w:right w:val="single" w:color="E0E0E0" w:sz="4" w:space="0"/>
            </w:tcBorders>
            <w:shd w:val="clear" w:color="auto" w:fill="auto"/>
            <w:tcMar>
              <w:top w:w="129" w:type="dxa"/>
              <w:bottom w:w="129" w:type="dxa"/>
              <w:right w:w="154" w:type="dxa"/>
            </w:tcMar>
            <w:vAlign w:val="center"/>
          </w:tcPr>
          <w:p w14:paraId="219D144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rStyle w:val="7"/>
                <w:rFonts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流程优化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​</w:t>
            </w:r>
          </w:p>
        </w:tc>
        <w:tc>
          <w:tcPr>
            <w:tcW w:w="0" w:type="auto"/>
            <w:tcBorders>
              <w:top w:val="single" w:color="E0E0E0" w:sz="4" w:space="0"/>
              <w:left w:val="single" w:color="E0E0E0" w:sz="4" w:space="0"/>
              <w:bottom w:val="single" w:color="E0E0E0" w:sz="4" w:space="0"/>
              <w:right w:val="single" w:color="E0E0E0" w:sz="4" w:space="0"/>
            </w:tcBorders>
            <w:shd w:val="clear" w:color="auto" w:fill="auto"/>
            <w:tcMar>
              <w:top w:w="129" w:type="dxa"/>
              <w:bottom w:w="129" w:type="dxa"/>
              <w:right w:w="154" w:type="dxa"/>
            </w:tcMar>
            <w:vAlign w:val="center"/>
          </w:tcPr>
          <w:p w14:paraId="4A4A24D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缩短提前期、减少批量规模</w:t>
            </w:r>
          </w:p>
        </w:tc>
        <w:tc>
          <w:tcPr>
            <w:tcW w:w="0" w:type="auto"/>
            <w:tcBorders>
              <w:top w:val="single" w:color="E0E0E0" w:sz="4" w:space="0"/>
              <w:left w:val="single" w:color="E0E0E0" w:sz="4" w:space="0"/>
              <w:bottom w:val="single" w:color="E0E0E0" w:sz="4" w:space="0"/>
              <w:right w:val="single" w:color="E0E0E0" w:sz="4" w:space="0"/>
            </w:tcBorders>
            <w:shd w:val="clear" w:color="auto" w:fill="auto"/>
            <w:tcMar>
              <w:top w:w="129" w:type="dxa"/>
              <w:bottom w:w="129" w:type="dxa"/>
              <w:right w:w="154" w:type="dxa"/>
            </w:tcMar>
            <w:vAlign w:val="center"/>
          </w:tcPr>
          <w:p w14:paraId="40D7FAD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需求波动降低30%以上</w:t>
            </w:r>
          </w:p>
        </w:tc>
      </w:tr>
      <w:tr w14:paraId="0F0F6842">
        <w:tblPrEx>
          <w:tblBorders>
            <w:top w:val="single" w:color="E0E0E0" w:sz="4" w:space="0"/>
            <w:left w:val="single" w:color="E0E0E0" w:sz="4" w:space="0"/>
            <w:bottom w:val="single" w:color="E0E0E0" w:sz="4" w:space="0"/>
            <w:right w:val="single" w:color="E0E0E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0E0E0" w:sz="4" w:space="0"/>
              <w:left w:val="single" w:color="E0E0E0" w:sz="4" w:space="0"/>
              <w:bottom w:val="single" w:color="E0E0E0" w:sz="4" w:space="0"/>
              <w:right w:val="single" w:color="E0E0E0" w:sz="4" w:space="0"/>
            </w:tcBorders>
            <w:shd w:val="clear" w:color="auto" w:fill="auto"/>
            <w:tcMar>
              <w:top w:w="129" w:type="dxa"/>
              <w:bottom w:w="129" w:type="dxa"/>
              <w:right w:w="154" w:type="dxa"/>
            </w:tcMar>
            <w:vAlign w:val="center"/>
          </w:tcPr>
          <w:p w14:paraId="6B6D5A8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rStyle w:val="7"/>
                <w:rFonts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关系协调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​</w:t>
            </w:r>
          </w:p>
        </w:tc>
        <w:tc>
          <w:tcPr>
            <w:tcW w:w="0" w:type="auto"/>
            <w:tcBorders>
              <w:top w:val="single" w:color="E0E0E0" w:sz="4" w:space="0"/>
              <w:left w:val="single" w:color="E0E0E0" w:sz="4" w:space="0"/>
              <w:bottom w:val="single" w:color="E0E0E0" w:sz="4" w:space="0"/>
              <w:right w:val="single" w:color="E0E0E0" w:sz="4" w:space="0"/>
            </w:tcBorders>
            <w:shd w:val="clear" w:color="auto" w:fill="auto"/>
            <w:tcMar>
              <w:top w:w="129" w:type="dxa"/>
              <w:bottom w:w="129" w:type="dxa"/>
              <w:right w:w="154" w:type="dxa"/>
            </w:tcMar>
            <w:vAlign w:val="center"/>
          </w:tcPr>
          <w:p w14:paraId="3E79B21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稳定价格、分级管理、风险共担</w:t>
            </w:r>
          </w:p>
        </w:tc>
        <w:tc>
          <w:tcPr>
            <w:tcW w:w="0" w:type="auto"/>
            <w:tcBorders>
              <w:top w:val="single" w:color="E0E0E0" w:sz="4" w:space="0"/>
              <w:left w:val="single" w:color="E0E0E0" w:sz="4" w:space="0"/>
              <w:bottom w:val="single" w:color="E0E0E0" w:sz="4" w:space="0"/>
              <w:right w:val="single" w:color="E0E0E0" w:sz="4" w:space="0"/>
            </w:tcBorders>
            <w:shd w:val="clear" w:color="auto" w:fill="auto"/>
            <w:tcMar>
              <w:top w:w="129" w:type="dxa"/>
              <w:bottom w:w="129" w:type="dxa"/>
              <w:right w:w="154" w:type="dxa"/>
            </w:tcMar>
            <w:vAlign w:val="center"/>
          </w:tcPr>
          <w:p w14:paraId="00B7CD9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库存水平降低15%-25%</w:t>
            </w:r>
          </w:p>
        </w:tc>
      </w:tr>
      <w:tr w14:paraId="0FF9D685">
        <w:tblPrEx>
          <w:tblBorders>
            <w:top w:val="single" w:color="E0E0E0" w:sz="4" w:space="0"/>
            <w:left w:val="single" w:color="E0E0E0" w:sz="4" w:space="0"/>
            <w:bottom w:val="single" w:color="E0E0E0" w:sz="4" w:space="0"/>
            <w:right w:val="single" w:color="E0E0E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0E0E0" w:sz="4" w:space="0"/>
              <w:left w:val="single" w:color="E0E0E0" w:sz="4" w:space="0"/>
              <w:bottom w:val="single" w:color="E0E0E0" w:sz="4" w:space="0"/>
              <w:right w:val="single" w:color="E0E0E0" w:sz="4" w:space="0"/>
            </w:tcBorders>
            <w:shd w:val="clear" w:color="auto" w:fill="auto"/>
            <w:tcMar>
              <w:top w:w="129" w:type="dxa"/>
              <w:bottom w:w="129" w:type="dxa"/>
              <w:right w:w="154" w:type="dxa"/>
            </w:tcMar>
            <w:vAlign w:val="center"/>
          </w:tcPr>
          <w:p w14:paraId="27944DF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rStyle w:val="7"/>
                <w:rFonts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技术应用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​</w:t>
            </w:r>
          </w:p>
        </w:tc>
        <w:tc>
          <w:tcPr>
            <w:tcW w:w="0" w:type="auto"/>
            <w:tcBorders>
              <w:top w:val="single" w:color="E0E0E0" w:sz="4" w:space="0"/>
              <w:left w:val="single" w:color="E0E0E0" w:sz="4" w:space="0"/>
              <w:bottom w:val="single" w:color="E0E0E0" w:sz="4" w:space="0"/>
              <w:right w:val="single" w:color="E0E0E0" w:sz="4" w:space="0"/>
            </w:tcBorders>
            <w:shd w:val="clear" w:color="auto" w:fill="auto"/>
            <w:tcMar>
              <w:top w:w="129" w:type="dxa"/>
              <w:bottom w:w="129" w:type="dxa"/>
              <w:right w:w="154" w:type="dxa"/>
            </w:tcMar>
            <w:vAlign w:val="center"/>
          </w:tcPr>
          <w:p w14:paraId="7430508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物联网、大数据分析、区块链</w:t>
            </w:r>
          </w:p>
        </w:tc>
        <w:tc>
          <w:tcPr>
            <w:tcW w:w="0" w:type="auto"/>
            <w:tcBorders>
              <w:top w:val="single" w:color="E0E0E0" w:sz="4" w:space="0"/>
              <w:left w:val="single" w:color="E0E0E0" w:sz="4" w:space="0"/>
              <w:bottom w:val="single" w:color="E0E0E0" w:sz="4" w:space="0"/>
              <w:right w:val="single" w:color="E0E0E0" w:sz="4" w:space="0"/>
            </w:tcBorders>
            <w:shd w:val="clear" w:color="auto" w:fill="auto"/>
            <w:tcMar>
              <w:top w:w="129" w:type="dxa"/>
              <w:bottom w:w="129" w:type="dxa"/>
              <w:right w:w="154" w:type="dxa"/>
            </w:tcMar>
            <w:vAlign w:val="center"/>
          </w:tcPr>
          <w:p w14:paraId="4BB561E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信息透明度大幅提高</w:t>
            </w:r>
          </w:p>
        </w:tc>
      </w:tr>
    </w:tbl>
    <w:p w14:paraId="03CD6619">
      <w:pPr>
        <w:pStyle w:val="3"/>
        <w:keepNext w:val="0"/>
        <w:keepLines w:val="0"/>
        <w:widowControl/>
        <w:suppressLineNumbers w:val="0"/>
      </w:pPr>
      <w:r>
        <w:t xml:space="preserve">5 结论与展望 </w:t>
      </w:r>
    </w:p>
    <w:p w14:paraId="703A6A17">
      <w:pPr>
        <w:keepNext w:val="0"/>
        <w:keepLines w:val="0"/>
        <w:widowControl/>
        <w:suppressLineNumbers w:val="0"/>
        <w:jc w:val="left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牛鞭效应是供应链内在结构性问题，对物流运营有全方位负面影响。本文通过分析其形成机制和影响，提出系统应对策略，得出以下结论：</w:t>
      </w:r>
    </w:p>
    <w:p w14:paraId="73F74807">
      <w:pPr>
        <w:keepNext w:val="0"/>
        <w:keepLines w:val="0"/>
        <w:widowControl/>
        <w:suppressLineNumbers w:val="0"/>
        <w:jc w:val="left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首先，牛鞭效应主要源于</w:t>
      </w:r>
      <w:r>
        <w:rPr>
          <w:rStyle w:val="7"/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信息不对称</w:t>
      </w: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、</w:t>
      </w:r>
      <w:r>
        <w:rPr>
          <w:rStyle w:val="7"/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批量订货</w:t>
      </w: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、</w:t>
      </w:r>
      <w:r>
        <w:rPr>
          <w:rStyle w:val="7"/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价格波动</w:t>
      </w: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、</w:t>
      </w:r>
      <w:r>
        <w:rPr>
          <w:rStyle w:val="7"/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短缺博弈</w:t>
      </w: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和</w:t>
      </w:r>
      <w:r>
        <w:rPr>
          <w:rStyle w:val="7"/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库存责任失衡</w:t>
      </w: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等因素。这些因素相互作用，使需求信息在供应链传递过程中被逐级放大。</w:t>
      </w:r>
    </w:p>
    <w:p w14:paraId="3F7ED536">
      <w:pPr>
        <w:keepNext w:val="0"/>
        <w:keepLines w:val="0"/>
        <w:widowControl/>
        <w:suppressLineNumbers w:val="0"/>
        <w:jc w:val="left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其次，牛鞭效应对物流系统的影响显著，主要表现为</w:t>
      </w:r>
      <w:r>
        <w:rPr>
          <w:rStyle w:val="7"/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库存成本增加</w:t>
      </w: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、</w:t>
      </w:r>
      <w:r>
        <w:rPr>
          <w:rStyle w:val="7"/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运输效率降低</w:t>
      </w: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、</w:t>
      </w:r>
      <w:r>
        <w:rPr>
          <w:rStyle w:val="7"/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仓储管理复杂化</w:t>
      </w: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及</w:t>
      </w:r>
      <w:r>
        <w:rPr>
          <w:rStyle w:val="7"/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整体供应链响应速度下降</w:t>
      </w: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。这些影响不仅增加企业运营成本，还降低客户服务水平和供应链竞争力。</w:t>
      </w:r>
    </w:p>
    <w:p w14:paraId="5BA0DDE7">
      <w:pPr>
        <w:keepNext w:val="0"/>
        <w:keepLines w:val="0"/>
        <w:widowControl/>
        <w:suppressLineNumbers w:val="0"/>
        <w:jc w:val="left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最后，减少牛鞭效应需要综合策略，包括</w:t>
      </w:r>
      <w:r>
        <w:rPr>
          <w:rStyle w:val="7"/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加强信息共享</w:t>
      </w: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、</w:t>
      </w:r>
      <w:r>
        <w:rPr>
          <w:rStyle w:val="7"/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优化供应链流程</w:t>
      </w: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、</w:t>
      </w:r>
      <w:r>
        <w:rPr>
          <w:rStyle w:val="7"/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协调伙伴关系</w:t>
      </w: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及</w:t>
      </w:r>
      <w:r>
        <w:rPr>
          <w:rStyle w:val="7"/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利用先进技术</w:t>
      </w: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。这些措施需供应链各方共同参与和协作，才能实现整体优化。</w:t>
      </w:r>
    </w:p>
    <w:p w14:paraId="362ED054">
      <w:pPr>
        <w:keepNext w:val="0"/>
        <w:keepLines w:val="0"/>
        <w:widowControl/>
        <w:suppressLineNumbers w:val="0"/>
        <w:jc w:val="left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展望未来，随着全球供应链网络复杂性和不确定性增加，牛鞭效应管理面临更多挑战。供应链的</w:t>
      </w:r>
      <w:r>
        <w:rPr>
          <w:rStyle w:val="7"/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数字化转型</w:t>
      </w: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为解决牛鞭效应提供新机遇，通过人工智能、物联网和区块链等技术，可构建更透明、更智能的供应链生态系统。同时，供应链结构从传统“链”向复杂“网”演进，也要求重新思考牛鞭效应管理范式。</w:t>
      </w:r>
    </w:p>
    <w:p w14:paraId="2E5062F8">
      <w:pPr>
        <w:keepNext w:val="0"/>
        <w:keepLines w:val="0"/>
        <w:widowControl/>
        <w:suppressLineNumbers w:val="0"/>
        <w:jc w:val="left"/>
        <w:rPr>
          <w:b w:val="0"/>
          <w:bCs w:val="0"/>
          <w:sz w:val="24"/>
          <w:szCs w:val="24"/>
        </w:rPr>
      </w:pPr>
      <w:r>
        <w:rPr>
          <w:rFonts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在日益动荡的商业环境中，有效管理牛鞭效应成为企业供应链管理的核心能力之一。只有通过供应链各方紧密协作和持续创新，才能构建更具韧性和响应能力的供应链系统，在复杂多变的市场环境中保持竞争优势。</w:t>
      </w:r>
    </w:p>
    <w:p w14:paraId="7A038AA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DF637F"/>
    <w:rsid w:val="2EDF637F"/>
    <w:rsid w:val="3AF9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Emphasis"/>
    <w:basedOn w:val="6"/>
    <w:qFormat/>
    <w:uiPriority w:val="0"/>
    <w:rPr>
      <w:i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3054</Words>
  <Characters>3157</Characters>
  <Lines>0</Lines>
  <Paragraphs>0</Paragraphs>
  <TotalTime>33</TotalTime>
  <ScaleCrop>false</ScaleCrop>
  <LinksUpToDate>false</LinksUpToDate>
  <CharactersWithSpaces>3191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2025-12-28T07:01:00Z</dcterms:created>
  <dc:creator>Vinegar.</dc:creator>
  <cp:lastModifiedBy>Vinegar.</cp:lastModifiedBy>
  <dcterms:modified xsi:type="dcterms:W3CDTF">2025-12-28T07:50:39Z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C6EB2531DC5D494ABBBBF529F27CF146_13</vt:lpwstr>
  </property>
  <property fmtid="{D5CDD505-2E9C-101B-9397-08002B2CF9AE}" pid="4" name="KSOTemplateDocerSaveRecord">
    <vt:lpwstr>eyJoZGlkIjoiZjgwMmVkOWU5ZDQ4YTUxOGYzZTQzNTk1YzRlYWIyMmUiLCJ1c2VySWQiOiIxMTM4NzkwODM0In0=</vt:lpwstr>
  </property>
</Properties>
</file>