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49446" w14:textId="461311C3" w:rsidR="0001050D" w:rsidRPr="0001050D" w:rsidRDefault="0001050D" w:rsidP="0001050D">
      <w:pPr>
        <w:jc w:val="center"/>
        <w:rPr>
          <w:rFonts w:ascii="黑体" w:eastAsia="黑体" w:hAnsi="黑体"/>
          <w:sz w:val="28"/>
          <w:szCs w:val="28"/>
        </w:rPr>
      </w:pPr>
      <w:r w:rsidRPr="0001050D">
        <w:rPr>
          <w:rFonts w:ascii="黑体" w:eastAsia="黑体" w:hAnsi="黑体"/>
          <w:sz w:val="28"/>
          <w:szCs w:val="28"/>
        </w:rPr>
        <w:t>电商平台预测信息对OEM主导供应</w:t>
      </w:r>
      <w:proofErr w:type="gramStart"/>
      <w:r w:rsidRPr="0001050D">
        <w:rPr>
          <w:rFonts w:ascii="黑体" w:eastAsia="黑体" w:hAnsi="黑体"/>
          <w:sz w:val="28"/>
          <w:szCs w:val="28"/>
        </w:rPr>
        <w:t>链结构</w:t>
      </w:r>
      <w:proofErr w:type="gramEnd"/>
      <w:r w:rsidRPr="0001050D">
        <w:rPr>
          <w:rFonts w:ascii="黑体" w:eastAsia="黑体" w:hAnsi="黑体"/>
          <w:sz w:val="28"/>
          <w:szCs w:val="28"/>
        </w:rPr>
        <w:t>的影响</w:t>
      </w:r>
      <w:r w:rsidRPr="000F1290">
        <w:rPr>
          <w:rFonts w:ascii="黑体" w:eastAsia="黑体" w:hAnsi="黑体" w:hint="eastAsia"/>
          <w:sz w:val="28"/>
          <w:szCs w:val="28"/>
        </w:rPr>
        <w:t>读书报告</w:t>
      </w:r>
    </w:p>
    <w:p w14:paraId="24F0702B" w14:textId="649D4EE3" w:rsidR="0001050D" w:rsidRPr="0001050D" w:rsidRDefault="0001050D" w:rsidP="000F1290">
      <w:pPr>
        <w:spacing w:line="360" w:lineRule="auto"/>
        <w:ind w:firstLineChars="200" w:firstLine="480"/>
        <w:rPr>
          <w:rFonts w:ascii="宋体" w:eastAsia="宋体" w:hAnsi="宋体" w:hint="eastAsia"/>
          <w:sz w:val="24"/>
        </w:rPr>
      </w:pPr>
      <w:r w:rsidRPr="0001050D">
        <w:rPr>
          <w:rFonts w:ascii="宋体" w:eastAsia="宋体" w:hAnsi="宋体"/>
          <w:sz w:val="24"/>
        </w:rPr>
        <w:t>在数字化时代，电商平台利用数据挖掘和分析技术进行需求预测的能力日益增强，这对供应</w:t>
      </w:r>
      <w:proofErr w:type="gramStart"/>
      <w:r w:rsidRPr="0001050D">
        <w:rPr>
          <w:rFonts w:ascii="宋体" w:eastAsia="宋体" w:hAnsi="宋体"/>
          <w:sz w:val="24"/>
        </w:rPr>
        <w:t>链成员</w:t>
      </w:r>
      <w:proofErr w:type="gramEnd"/>
      <w:r w:rsidRPr="0001050D">
        <w:rPr>
          <w:rFonts w:ascii="宋体" w:eastAsia="宋体" w:hAnsi="宋体"/>
          <w:sz w:val="24"/>
        </w:rPr>
        <w:t>的战略决策产生了深远影响。本文聚焦于由原始设备制造商（OEM）、品牌商和电商平台构成的两级供应链，深入剖析平台预测信息如何影响供应</w:t>
      </w:r>
      <w:proofErr w:type="gramStart"/>
      <w:r w:rsidRPr="0001050D">
        <w:rPr>
          <w:rFonts w:ascii="宋体" w:eastAsia="宋体" w:hAnsi="宋体"/>
          <w:sz w:val="24"/>
        </w:rPr>
        <w:t>链成员</w:t>
      </w:r>
      <w:proofErr w:type="gramEnd"/>
      <w:r w:rsidRPr="0001050D">
        <w:rPr>
          <w:rFonts w:ascii="宋体" w:eastAsia="宋体" w:hAnsi="宋体"/>
          <w:sz w:val="24"/>
        </w:rPr>
        <w:t>的渠道策略，以及各成员策略之间的相互关系。</w:t>
      </w:r>
    </w:p>
    <w:p w14:paraId="370BEE59" w14:textId="506F6651" w:rsidR="0001050D" w:rsidRPr="0001050D" w:rsidRDefault="0001050D" w:rsidP="000F1290">
      <w:pPr>
        <w:spacing w:line="360" w:lineRule="auto"/>
        <w:ind w:firstLineChars="200" w:firstLine="480"/>
        <w:rPr>
          <w:rFonts w:ascii="宋体" w:eastAsia="宋体" w:hAnsi="宋体"/>
          <w:sz w:val="24"/>
        </w:rPr>
      </w:pPr>
      <w:r w:rsidRPr="000F1290">
        <w:rPr>
          <w:rFonts w:ascii="宋体" w:eastAsia="宋体" w:hAnsi="宋体" w:hint="eastAsia"/>
          <w:sz w:val="24"/>
        </w:rPr>
        <w:t>一、</w:t>
      </w:r>
      <w:r w:rsidRPr="0001050D">
        <w:rPr>
          <w:rFonts w:ascii="宋体" w:eastAsia="宋体" w:hAnsi="宋体"/>
          <w:sz w:val="24"/>
        </w:rPr>
        <w:t>核心问题</w:t>
      </w:r>
    </w:p>
    <w:p w14:paraId="5FC3A62B" w14:textId="4C2C1892"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1.平台预测信息对企业的影响：平台预测信息是否总能促使企业受益并发展线上业务？其如何影响OEM和品牌商的渠道策略选择？</w:t>
      </w:r>
    </w:p>
    <w:p w14:paraId="6FCAB7A7" w14:textId="52B7781F"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2.企业渠道策略对平台的影响：OEM的B2C策略和品牌商的</w:t>
      </w:r>
      <w:proofErr w:type="gramStart"/>
      <w:r w:rsidRPr="0001050D">
        <w:rPr>
          <w:rFonts w:ascii="宋体" w:eastAsia="宋体" w:hAnsi="宋体"/>
          <w:sz w:val="24"/>
        </w:rPr>
        <w:t>双渠道</w:t>
      </w:r>
      <w:proofErr w:type="gramEnd"/>
      <w:r w:rsidRPr="0001050D">
        <w:rPr>
          <w:rFonts w:ascii="宋体" w:eastAsia="宋体" w:hAnsi="宋体"/>
          <w:sz w:val="24"/>
        </w:rPr>
        <w:t>策略如何影响平台分享预测信息的决策？</w:t>
      </w:r>
    </w:p>
    <w:p w14:paraId="4EF4816C" w14:textId="63882A5B"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3.渠道策略间的交互影响：OEM和品牌商的在线业务如何相互影响对方从平台预测信息中获得的收益？</w:t>
      </w:r>
    </w:p>
    <w:p w14:paraId="026D8C7F" w14:textId="5CB52018" w:rsidR="0001050D" w:rsidRPr="0001050D" w:rsidRDefault="0001050D" w:rsidP="000F1290">
      <w:pPr>
        <w:spacing w:line="360" w:lineRule="auto"/>
        <w:ind w:firstLineChars="200" w:firstLine="480"/>
        <w:rPr>
          <w:rFonts w:ascii="宋体" w:eastAsia="宋体" w:hAnsi="宋体" w:hint="eastAsia"/>
          <w:sz w:val="24"/>
        </w:rPr>
      </w:pPr>
      <w:r w:rsidRPr="0001050D">
        <w:rPr>
          <w:rFonts w:ascii="宋体" w:eastAsia="宋体" w:hAnsi="宋体"/>
          <w:sz w:val="24"/>
        </w:rPr>
        <w:t>4.平台佣金率的影响：平台佣金率如何影响OEM、品牌商和平台自身从预测信息中获得的收益？</w:t>
      </w:r>
    </w:p>
    <w:p w14:paraId="3FB385A1" w14:textId="3081FAF3" w:rsidR="0001050D" w:rsidRPr="0001050D" w:rsidRDefault="0001050D" w:rsidP="000F1290">
      <w:pPr>
        <w:spacing w:line="360" w:lineRule="auto"/>
        <w:ind w:firstLineChars="200" w:firstLine="480"/>
        <w:rPr>
          <w:rFonts w:ascii="宋体" w:eastAsia="宋体" w:hAnsi="宋体"/>
          <w:sz w:val="24"/>
        </w:rPr>
      </w:pPr>
      <w:r w:rsidRPr="000F1290">
        <w:rPr>
          <w:rFonts w:ascii="宋体" w:eastAsia="宋体" w:hAnsi="宋体" w:hint="eastAsia"/>
          <w:sz w:val="24"/>
        </w:rPr>
        <w:t>二、</w:t>
      </w:r>
      <w:r w:rsidRPr="0001050D">
        <w:rPr>
          <w:rFonts w:ascii="宋体" w:eastAsia="宋体" w:hAnsi="宋体"/>
          <w:sz w:val="24"/>
        </w:rPr>
        <w:t>模型构建</w:t>
      </w:r>
    </w:p>
    <w:p w14:paraId="651A52BF" w14:textId="2F97BC80"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1.企业主体：包含一个OEM、一个品牌商和一个电商平台。OEM以成本</w:t>
      </w:r>
      <w:r w:rsidRPr="000F1290">
        <w:rPr>
          <w:rFonts w:ascii="宋体" w:eastAsia="宋体" w:hAnsi="宋体" w:hint="eastAsia"/>
          <w:sz w:val="24"/>
        </w:rPr>
        <w:t>c0</w:t>
      </w:r>
      <w:r w:rsidRPr="0001050D">
        <w:rPr>
          <w:rFonts w:ascii="宋体" w:eastAsia="宋体" w:hAnsi="宋体"/>
          <w:sz w:val="24"/>
        </w:rPr>
        <w:t>生产非品牌产品并批发</w:t>
      </w:r>
      <w:proofErr w:type="gramStart"/>
      <w:r w:rsidRPr="0001050D">
        <w:rPr>
          <w:rFonts w:ascii="宋体" w:eastAsia="宋体" w:hAnsi="宋体"/>
          <w:sz w:val="24"/>
        </w:rPr>
        <w:t>给品牌商</w:t>
      </w:r>
      <w:proofErr w:type="gramEnd"/>
      <w:r w:rsidRPr="0001050D">
        <w:rPr>
          <w:rFonts w:ascii="宋体" w:eastAsia="宋体" w:hAnsi="宋体"/>
          <w:sz w:val="24"/>
        </w:rPr>
        <w:t>，品牌商通过线下渠道零售品牌产品，同时两者均可借助平台开展线上业务，平台按一定比例</w:t>
      </w:r>
      <w:r w:rsidRPr="000F1290">
        <w:rPr>
          <w:rFonts w:ascii="宋体" w:eastAsia="宋体" w:hAnsi="宋体" w:hint="eastAsia"/>
          <w:sz w:val="24"/>
        </w:rPr>
        <w:t>a</w:t>
      </w:r>
      <w:r w:rsidRPr="0001050D">
        <w:rPr>
          <w:rFonts w:ascii="宋体" w:eastAsia="宋体" w:hAnsi="宋体"/>
          <w:sz w:val="24"/>
        </w:rPr>
        <w:t>收取佣金。</w:t>
      </w:r>
    </w:p>
    <w:p w14:paraId="3DE55163" w14:textId="5E8DC2C4"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2.消费者需求：消费者对品牌产品的感知价值包括产品本身价值和品牌附加价值，且在不同渠道购买时价值不同，同时品牌价值在线</w:t>
      </w:r>
      <w:proofErr w:type="gramStart"/>
      <w:r w:rsidRPr="0001050D">
        <w:rPr>
          <w:rFonts w:ascii="宋体" w:eastAsia="宋体" w:hAnsi="宋体"/>
          <w:sz w:val="24"/>
        </w:rPr>
        <w:t>上渠道</w:t>
      </w:r>
      <w:proofErr w:type="gramEnd"/>
      <w:r w:rsidRPr="0001050D">
        <w:rPr>
          <w:rFonts w:ascii="宋体" w:eastAsia="宋体" w:hAnsi="宋体"/>
          <w:sz w:val="24"/>
        </w:rPr>
        <w:t>存在折扣</w:t>
      </w:r>
      <w:r w:rsidRPr="000F1290">
        <w:rPr>
          <w:rFonts w:ascii="宋体" w:eastAsia="宋体" w:hAnsi="宋体" w:hint="eastAsia"/>
          <w:sz w:val="24"/>
        </w:rPr>
        <w:t>u</w:t>
      </w:r>
      <w:r w:rsidRPr="0001050D">
        <w:rPr>
          <w:rFonts w:ascii="宋体" w:eastAsia="宋体" w:hAnsi="宋体"/>
          <w:sz w:val="24"/>
        </w:rPr>
        <w:t>。消费者购买决策受品牌忠诚度和产品价值影响。</w:t>
      </w:r>
    </w:p>
    <w:p w14:paraId="2170214D" w14:textId="11CCE3D3"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3.平台预测：平台运用数据技术预测在线需求，预测值</w:t>
      </w:r>
      <w:r w:rsidRPr="000F1290">
        <w:rPr>
          <w:rFonts w:ascii="宋体" w:eastAsia="宋体" w:hAnsi="宋体"/>
          <w:sz w:val="24"/>
        </w:rPr>
        <w:drawing>
          <wp:inline distT="0" distB="0" distL="0" distR="0" wp14:anchorId="261480E2" wp14:editId="0152B108">
            <wp:extent cx="691226" cy="153606"/>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759660" cy="168814"/>
                    </a:xfrm>
                    <a:prstGeom prst="rect">
                      <a:avLst/>
                    </a:prstGeom>
                  </pic:spPr>
                </pic:pic>
              </a:graphicData>
            </a:graphic>
          </wp:inline>
        </w:drawing>
      </w:r>
      <w:r w:rsidRPr="0001050D">
        <w:rPr>
          <w:rFonts w:ascii="宋体" w:eastAsia="宋体" w:hAnsi="宋体"/>
          <w:sz w:val="24"/>
        </w:rPr>
        <w:t>，其中</w:t>
      </w:r>
      <w:r w:rsidRPr="000F1290">
        <w:rPr>
          <w:rFonts w:ascii="宋体" w:eastAsia="宋体" w:hAnsi="宋体"/>
          <w:sz w:val="24"/>
        </w:rPr>
        <w:drawing>
          <wp:inline distT="0" distB="0" distL="0" distR="0" wp14:anchorId="727C87FE" wp14:editId="4FAEF2CC">
            <wp:extent cx="121534" cy="143237"/>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127800" cy="150622"/>
                    </a:xfrm>
                    <a:prstGeom prst="rect">
                      <a:avLst/>
                    </a:prstGeom>
                  </pic:spPr>
                </pic:pic>
              </a:graphicData>
            </a:graphic>
          </wp:inline>
        </w:drawing>
      </w:r>
      <w:r w:rsidRPr="0001050D">
        <w:rPr>
          <w:rFonts w:ascii="宋体" w:eastAsia="宋体" w:hAnsi="宋体"/>
          <w:sz w:val="24"/>
        </w:rPr>
        <w:t>为需求不确定性因素，</w:t>
      </w:r>
      <w:r w:rsidRPr="000F1290">
        <w:rPr>
          <w:rFonts w:ascii="宋体" w:eastAsia="宋体" w:hAnsi="宋体"/>
          <w:sz w:val="24"/>
        </w:rPr>
        <w:drawing>
          <wp:inline distT="0" distB="0" distL="0" distR="0" wp14:anchorId="7A3D5EC5" wp14:editId="48E0F95F">
            <wp:extent cx="92597" cy="146206"/>
            <wp:effectExtent l="0" t="0" r="317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97577" cy="154069"/>
                    </a:xfrm>
                    <a:prstGeom prst="rect">
                      <a:avLst/>
                    </a:prstGeom>
                  </pic:spPr>
                </pic:pic>
              </a:graphicData>
            </a:graphic>
          </wp:inline>
        </w:drawing>
      </w:r>
      <w:r w:rsidRPr="0001050D">
        <w:rPr>
          <w:rFonts w:ascii="宋体" w:eastAsia="宋体" w:hAnsi="宋体"/>
          <w:sz w:val="24"/>
        </w:rPr>
        <w:t>为预测误差，</w:t>
      </w:r>
      <w:r w:rsidRPr="000F1290">
        <w:rPr>
          <w:rFonts w:ascii="宋体" w:eastAsia="宋体" w:hAnsi="宋体"/>
          <w:sz w:val="24"/>
        </w:rPr>
        <w:drawing>
          <wp:inline distT="0" distB="0" distL="0" distR="0" wp14:anchorId="7C4CDBC8" wp14:editId="48F91C3A">
            <wp:extent cx="457200" cy="213799"/>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81311" cy="225074"/>
                    </a:xfrm>
                    <a:prstGeom prst="rect">
                      <a:avLst/>
                    </a:prstGeom>
                  </pic:spPr>
                </pic:pic>
              </a:graphicData>
            </a:graphic>
          </wp:inline>
        </w:drawing>
      </w:r>
      <w:r w:rsidRPr="0001050D">
        <w:rPr>
          <w:rFonts w:ascii="宋体" w:eastAsia="宋体" w:hAnsi="宋体"/>
          <w:sz w:val="24"/>
        </w:rPr>
        <w:t>衡量预测精度。</w:t>
      </w:r>
    </w:p>
    <w:p w14:paraId="0A54B4E8" w14:textId="77777777" w:rsidR="000F1290" w:rsidRPr="000F1290"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4.主要模式：</w:t>
      </w:r>
      <w:r w:rsidR="000F1290" w:rsidRPr="0001050D">
        <w:rPr>
          <w:rFonts w:ascii="宋体" w:eastAsia="宋体" w:hAnsi="宋体"/>
          <w:sz w:val="24"/>
        </w:rPr>
        <w:t>构建了四种模式，即SN（</w:t>
      </w:r>
      <w:proofErr w:type="gramStart"/>
      <w:r w:rsidR="000F1290" w:rsidRPr="0001050D">
        <w:rPr>
          <w:rFonts w:ascii="宋体" w:eastAsia="宋体" w:hAnsi="宋体"/>
          <w:sz w:val="24"/>
        </w:rPr>
        <w:t>品牌商单渠道</w:t>
      </w:r>
      <w:proofErr w:type="gramEnd"/>
      <w:r w:rsidR="000F1290" w:rsidRPr="0001050D">
        <w:rPr>
          <w:rFonts w:ascii="宋体" w:eastAsia="宋体" w:hAnsi="宋体"/>
          <w:sz w:val="24"/>
        </w:rPr>
        <w:t>）、SC（OEM开展线上业务，</w:t>
      </w:r>
      <w:proofErr w:type="gramStart"/>
      <w:r w:rsidR="000F1290" w:rsidRPr="0001050D">
        <w:rPr>
          <w:rFonts w:ascii="宋体" w:eastAsia="宋体" w:hAnsi="宋体"/>
          <w:sz w:val="24"/>
        </w:rPr>
        <w:t>品牌商单渠道</w:t>
      </w:r>
      <w:proofErr w:type="gramEnd"/>
      <w:r w:rsidR="000F1290" w:rsidRPr="0001050D">
        <w:rPr>
          <w:rFonts w:ascii="宋体" w:eastAsia="宋体" w:hAnsi="宋体"/>
          <w:sz w:val="24"/>
        </w:rPr>
        <w:t>）、DN（品牌商双渠道）、DC（OEM和品牌商均双渠道），并</w:t>
      </w:r>
      <w:r w:rsidR="000F1290" w:rsidRPr="0001050D">
        <w:rPr>
          <w:rFonts w:ascii="宋体" w:eastAsia="宋体" w:hAnsi="宋体"/>
          <w:sz w:val="24"/>
        </w:rPr>
        <w:lastRenderedPageBreak/>
        <w:t>采用Stackelberg博弈分析，OEM为领导者，品牌商为追随者。</w:t>
      </w:r>
    </w:p>
    <w:p w14:paraId="1656FE9F" w14:textId="77777777" w:rsidR="000F1290" w:rsidRPr="000F1290" w:rsidRDefault="000F1290" w:rsidP="000F1290">
      <w:pPr>
        <w:spacing w:line="360" w:lineRule="auto"/>
        <w:ind w:firstLineChars="200" w:firstLine="480"/>
        <w:rPr>
          <w:rFonts w:ascii="宋体" w:eastAsia="宋体" w:hAnsi="宋体" w:hint="eastAsia"/>
          <w:sz w:val="24"/>
        </w:rPr>
      </w:pPr>
      <w:r w:rsidRPr="000F1290">
        <w:rPr>
          <w:rFonts w:ascii="宋体" w:eastAsia="宋体" w:hAnsi="宋体" w:hint="eastAsia"/>
          <w:sz w:val="24"/>
        </w:rPr>
        <w:t>在模式 SN 下，OEM 充当品牌商的批发商，将批发价格设定为ω。此后，品牌商采用</w:t>
      </w:r>
      <w:proofErr w:type="gramStart"/>
      <w:r w:rsidRPr="000F1290">
        <w:rPr>
          <w:rFonts w:ascii="宋体" w:eastAsia="宋体" w:hAnsi="宋体" w:hint="eastAsia"/>
          <w:sz w:val="24"/>
        </w:rPr>
        <w:t>单渠道</w:t>
      </w:r>
      <w:proofErr w:type="gramEnd"/>
      <w:r w:rsidRPr="000F1290">
        <w:rPr>
          <w:rFonts w:ascii="宋体" w:eastAsia="宋体" w:hAnsi="宋体" w:hint="eastAsia"/>
          <w:sz w:val="24"/>
        </w:rPr>
        <w:t>策略，仅通过线下渠道以价格</w:t>
      </w:r>
      <w:proofErr w:type="spellStart"/>
      <w:r w:rsidRPr="000F1290">
        <w:rPr>
          <w:rFonts w:ascii="宋体" w:eastAsia="宋体" w:hAnsi="宋体" w:hint="eastAsia"/>
          <w:sz w:val="24"/>
        </w:rPr>
        <w:t>prb</w:t>
      </w:r>
      <w:proofErr w:type="spellEnd"/>
      <w:r w:rsidRPr="000F1290">
        <w:rPr>
          <w:rFonts w:ascii="宋体" w:eastAsia="宋体" w:hAnsi="宋体" w:hint="eastAsia"/>
          <w:sz w:val="24"/>
        </w:rPr>
        <w:t>将品牌产品零售给消费者。</w:t>
      </w:r>
    </w:p>
    <w:p w14:paraId="2272E105" w14:textId="77777777" w:rsidR="000F1290" w:rsidRPr="000F1290" w:rsidRDefault="000F1290" w:rsidP="000F1290">
      <w:pPr>
        <w:spacing w:line="360" w:lineRule="auto"/>
        <w:ind w:firstLineChars="200" w:firstLine="480"/>
        <w:rPr>
          <w:rFonts w:ascii="宋体" w:eastAsia="宋体" w:hAnsi="宋体" w:hint="eastAsia"/>
          <w:sz w:val="24"/>
        </w:rPr>
      </w:pPr>
      <w:r w:rsidRPr="000F1290">
        <w:rPr>
          <w:rFonts w:ascii="宋体" w:eastAsia="宋体" w:hAnsi="宋体" w:hint="eastAsia"/>
          <w:sz w:val="24"/>
        </w:rPr>
        <w:t>在模式 SC下，OEM 依旧作为品牌商的批发商，批发价格设定为ω。与此同时OEM 采用了 B2C策略，通过平台的在线渠道以价格pnm向消费者销售非品牌产品。而品牌商还是</w:t>
      </w:r>
      <w:proofErr w:type="gramStart"/>
      <w:r w:rsidRPr="000F1290">
        <w:rPr>
          <w:rFonts w:ascii="宋体" w:eastAsia="宋体" w:hAnsi="宋体" w:hint="eastAsia"/>
          <w:sz w:val="24"/>
        </w:rPr>
        <w:t>单渠道</w:t>
      </w:r>
      <w:proofErr w:type="gramEnd"/>
      <w:r w:rsidRPr="000F1290">
        <w:rPr>
          <w:rFonts w:ascii="宋体" w:eastAsia="宋体" w:hAnsi="宋体" w:hint="eastAsia"/>
          <w:sz w:val="24"/>
        </w:rPr>
        <w:t>策略，仅通过线下渠道以价格</w:t>
      </w:r>
      <w:proofErr w:type="spellStart"/>
      <w:r w:rsidRPr="000F1290">
        <w:rPr>
          <w:rFonts w:ascii="宋体" w:eastAsia="宋体" w:hAnsi="宋体" w:hint="eastAsia"/>
          <w:sz w:val="24"/>
        </w:rPr>
        <w:t>prb</w:t>
      </w:r>
      <w:proofErr w:type="spellEnd"/>
      <w:r w:rsidRPr="000F1290">
        <w:rPr>
          <w:rFonts w:ascii="宋体" w:eastAsia="宋体" w:hAnsi="宋体" w:hint="eastAsia"/>
          <w:sz w:val="24"/>
        </w:rPr>
        <w:t>零售品牌产品。</w:t>
      </w:r>
    </w:p>
    <w:p w14:paraId="2C2F4CB1" w14:textId="77777777" w:rsidR="000F1290" w:rsidRPr="000F1290" w:rsidRDefault="000F1290" w:rsidP="000F1290">
      <w:pPr>
        <w:spacing w:line="360" w:lineRule="auto"/>
        <w:ind w:firstLineChars="200" w:firstLine="480"/>
        <w:rPr>
          <w:rFonts w:ascii="宋体" w:eastAsia="宋体" w:hAnsi="宋体" w:hint="eastAsia"/>
          <w:sz w:val="24"/>
        </w:rPr>
      </w:pPr>
      <w:r w:rsidRPr="000F1290">
        <w:rPr>
          <w:rFonts w:ascii="宋体" w:eastAsia="宋体" w:hAnsi="宋体" w:hint="eastAsia"/>
          <w:sz w:val="24"/>
        </w:rPr>
        <w:t>在模式 DN 下，OEM 继续担任品牌商的批发商，设定批发价格为ω。品牌商店在采用</w:t>
      </w:r>
      <w:proofErr w:type="gramStart"/>
      <w:r w:rsidRPr="000F1290">
        <w:rPr>
          <w:rFonts w:ascii="宋体" w:eastAsia="宋体" w:hAnsi="宋体" w:hint="eastAsia"/>
          <w:sz w:val="24"/>
        </w:rPr>
        <w:t>双渠道</w:t>
      </w:r>
      <w:proofErr w:type="gramEnd"/>
      <w:r w:rsidRPr="000F1290">
        <w:rPr>
          <w:rFonts w:ascii="宋体" w:eastAsia="宋体" w:hAnsi="宋体" w:hint="eastAsia"/>
          <w:sz w:val="24"/>
        </w:rPr>
        <w:t>策略，分别通过线下和在线渠道以价格</w:t>
      </w:r>
      <w:proofErr w:type="spellStart"/>
      <w:r w:rsidRPr="000F1290">
        <w:rPr>
          <w:rFonts w:ascii="宋体" w:eastAsia="宋体" w:hAnsi="宋体" w:hint="eastAsia"/>
          <w:sz w:val="24"/>
        </w:rPr>
        <w:t>Prb</w:t>
      </w:r>
      <w:proofErr w:type="spellEnd"/>
      <w:r w:rsidRPr="000F1290">
        <w:rPr>
          <w:rFonts w:ascii="宋体" w:eastAsia="宋体" w:hAnsi="宋体" w:hint="eastAsia"/>
          <w:sz w:val="24"/>
        </w:rPr>
        <w:t>和</w:t>
      </w:r>
      <w:proofErr w:type="spellStart"/>
      <w:r w:rsidRPr="000F1290">
        <w:rPr>
          <w:rFonts w:ascii="宋体" w:eastAsia="宋体" w:hAnsi="宋体" w:hint="eastAsia"/>
          <w:sz w:val="24"/>
        </w:rPr>
        <w:t>pnb</w:t>
      </w:r>
      <w:proofErr w:type="spellEnd"/>
      <w:r w:rsidRPr="000F1290">
        <w:rPr>
          <w:rFonts w:ascii="宋体" w:eastAsia="宋体" w:hAnsi="宋体" w:hint="eastAsia"/>
          <w:sz w:val="24"/>
        </w:rPr>
        <w:t>零售品牌产品。</w:t>
      </w:r>
    </w:p>
    <w:p w14:paraId="708E18B6" w14:textId="1EBC9B53" w:rsidR="000F1290" w:rsidRPr="0001050D" w:rsidRDefault="000F1290" w:rsidP="000F1290">
      <w:pPr>
        <w:spacing w:line="360" w:lineRule="auto"/>
        <w:ind w:firstLineChars="200" w:firstLine="480"/>
        <w:rPr>
          <w:rFonts w:ascii="宋体" w:eastAsia="宋体" w:hAnsi="宋体" w:hint="eastAsia"/>
          <w:sz w:val="24"/>
        </w:rPr>
      </w:pPr>
      <w:r w:rsidRPr="000F1290">
        <w:rPr>
          <w:rFonts w:ascii="宋体" w:eastAsia="宋体" w:hAnsi="宋体" w:hint="eastAsia"/>
          <w:sz w:val="24"/>
        </w:rPr>
        <w:t>在模式 DC下，OEM 采用</w:t>
      </w:r>
      <w:proofErr w:type="gramStart"/>
      <w:r w:rsidRPr="000F1290">
        <w:rPr>
          <w:rFonts w:ascii="宋体" w:eastAsia="宋体" w:hAnsi="宋体" w:hint="eastAsia"/>
          <w:sz w:val="24"/>
        </w:rPr>
        <w:t>双渠道</w:t>
      </w:r>
      <w:proofErr w:type="gramEnd"/>
      <w:r w:rsidRPr="000F1290">
        <w:rPr>
          <w:rFonts w:ascii="宋体" w:eastAsia="宋体" w:hAnsi="宋体" w:hint="eastAsia"/>
          <w:sz w:val="24"/>
        </w:rPr>
        <w:t>策略不仅作为品牌商的批发商，还通过平台的在线渠道以价格pnm向消费者销售非品牌产品。品牌商也采用</w:t>
      </w:r>
      <w:proofErr w:type="gramStart"/>
      <w:r w:rsidRPr="000F1290">
        <w:rPr>
          <w:rFonts w:ascii="宋体" w:eastAsia="宋体" w:hAnsi="宋体" w:hint="eastAsia"/>
          <w:sz w:val="24"/>
        </w:rPr>
        <w:t>双渠道</w:t>
      </w:r>
      <w:proofErr w:type="gramEnd"/>
      <w:r w:rsidRPr="000F1290">
        <w:rPr>
          <w:rFonts w:ascii="宋体" w:eastAsia="宋体" w:hAnsi="宋体" w:hint="eastAsia"/>
          <w:sz w:val="24"/>
        </w:rPr>
        <w:t>策略，分别通过线下和在线渠道以价格</w:t>
      </w:r>
      <w:proofErr w:type="spellStart"/>
      <w:r w:rsidRPr="000F1290">
        <w:rPr>
          <w:rFonts w:ascii="宋体" w:eastAsia="宋体" w:hAnsi="宋体" w:hint="eastAsia"/>
          <w:sz w:val="24"/>
        </w:rPr>
        <w:t>prb</w:t>
      </w:r>
      <w:proofErr w:type="spellEnd"/>
      <w:r w:rsidRPr="000F1290">
        <w:rPr>
          <w:rFonts w:ascii="宋体" w:eastAsia="宋体" w:hAnsi="宋体" w:hint="eastAsia"/>
          <w:sz w:val="24"/>
        </w:rPr>
        <w:t>和</w:t>
      </w:r>
      <w:proofErr w:type="spellStart"/>
      <w:r w:rsidRPr="000F1290">
        <w:rPr>
          <w:rFonts w:ascii="宋体" w:eastAsia="宋体" w:hAnsi="宋体" w:hint="eastAsia"/>
          <w:sz w:val="24"/>
        </w:rPr>
        <w:t>pnb</w:t>
      </w:r>
      <w:proofErr w:type="spellEnd"/>
      <w:r w:rsidRPr="000F1290">
        <w:rPr>
          <w:rFonts w:ascii="宋体" w:eastAsia="宋体" w:hAnsi="宋体" w:hint="eastAsia"/>
          <w:sz w:val="24"/>
        </w:rPr>
        <w:t>零售品牌产品</w:t>
      </w:r>
      <w:r w:rsidRPr="000F1290">
        <w:rPr>
          <w:rFonts w:ascii="宋体" w:eastAsia="宋体" w:hAnsi="宋体" w:hint="eastAsia"/>
          <w:sz w:val="24"/>
        </w:rPr>
        <w:t>。</w:t>
      </w:r>
    </w:p>
    <w:p w14:paraId="3852120E" w14:textId="6EACF049" w:rsidR="0001050D" w:rsidRPr="0001050D" w:rsidRDefault="0001050D" w:rsidP="000F1290">
      <w:pPr>
        <w:spacing w:line="360" w:lineRule="auto"/>
        <w:ind w:firstLineChars="200" w:firstLine="480"/>
        <w:jc w:val="center"/>
        <w:rPr>
          <w:rFonts w:ascii="宋体" w:eastAsia="宋体" w:hAnsi="宋体" w:hint="eastAsia"/>
          <w:sz w:val="24"/>
        </w:rPr>
      </w:pPr>
      <w:r w:rsidRPr="000F1290">
        <w:rPr>
          <w:rFonts w:ascii="宋体" w:eastAsia="宋体" w:hAnsi="宋体" w:hint="eastAsia"/>
          <w:sz w:val="24"/>
        </w:rPr>
        <w:drawing>
          <wp:inline distT="0" distB="0" distL="0" distR="0" wp14:anchorId="4D8D979C" wp14:editId="475A6A1B">
            <wp:extent cx="4054070" cy="1498921"/>
            <wp:effectExtent l="0" t="0" r="3810" b="635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4176" cy="1532236"/>
                    </a:xfrm>
                    <a:prstGeom prst="rect">
                      <a:avLst/>
                    </a:prstGeom>
                    <a:noFill/>
                    <a:ln>
                      <a:noFill/>
                    </a:ln>
                  </pic:spPr>
                </pic:pic>
              </a:graphicData>
            </a:graphic>
          </wp:inline>
        </w:drawing>
      </w:r>
    </w:p>
    <w:p w14:paraId="3F8B87CA" w14:textId="13A0C5BF" w:rsidR="0001050D" w:rsidRPr="0001050D" w:rsidRDefault="0001050D" w:rsidP="000F1290">
      <w:pPr>
        <w:spacing w:line="360" w:lineRule="auto"/>
        <w:ind w:firstLineChars="200" w:firstLine="480"/>
        <w:rPr>
          <w:rFonts w:ascii="宋体" w:eastAsia="宋体" w:hAnsi="宋体"/>
          <w:sz w:val="24"/>
        </w:rPr>
      </w:pPr>
      <w:r w:rsidRPr="000F1290">
        <w:rPr>
          <w:rFonts w:ascii="宋体" w:eastAsia="宋体" w:hAnsi="宋体" w:hint="eastAsia"/>
          <w:sz w:val="24"/>
        </w:rPr>
        <w:t>三、</w:t>
      </w:r>
      <w:r w:rsidRPr="0001050D">
        <w:rPr>
          <w:rFonts w:ascii="宋体" w:eastAsia="宋体" w:hAnsi="宋体"/>
          <w:sz w:val="24"/>
        </w:rPr>
        <w:t>研究结论</w:t>
      </w:r>
    </w:p>
    <w:p w14:paraId="66E52F04" w14:textId="3ACFF1B0"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1.平台预测信息的影响</w:t>
      </w:r>
    </w:p>
    <w:p w14:paraId="0149961B" w14:textId="079E04BD"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通常，平台预测信息有助于OEM发展线上业务，但当品牌商采用</w:t>
      </w:r>
      <w:proofErr w:type="gramStart"/>
      <w:r w:rsidRPr="0001050D">
        <w:rPr>
          <w:rFonts w:ascii="宋体" w:eastAsia="宋体" w:hAnsi="宋体"/>
          <w:sz w:val="24"/>
        </w:rPr>
        <w:t>双渠道</w:t>
      </w:r>
      <w:proofErr w:type="gramEnd"/>
      <w:r w:rsidRPr="0001050D">
        <w:rPr>
          <w:rFonts w:ascii="宋体" w:eastAsia="宋体" w:hAnsi="宋体"/>
          <w:sz w:val="24"/>
        </w:rPr>
        <w:t>策略且平台佣金为零时，信息对OEM影响不大。</w:t>
      </w:r>
    </w:p>
    <w:p w14:paraId="7F1041A0" w14:textId="5428818E"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平台预测信息总是能增加品牌商采用</w:t>
      </w:r>
      <w:proofErr w:type="gramStart"/>
      <w:r w:rsidRPr="0001050D">
        <w:rPr>
          <w:rFonts w:ascii="宋体" w:eastAsia="宋体" w:hAnsi="宋体"/>
          <w:sz w:val="24"/>
        </w:rPr>
        <w:t>双渠道</w:t>
      </w:r>
      <w:proofErr w:type="gramEnd"/>
      <w:r w:rsidRPr="0001050D">
        <w:rPr>
          <w:rFonts w:ascii="宋体" w:eastAsia="宋体" w:hAnsi="宋体"/>
          <w:sz w:val="24"/>
        </w:rPr>
        <w:t>策略的收益，品牌商应重视并充分利用该信息开展线上业务。</w:t>
      </w:r>
    </w:p>
    <w:p w14:paraId="2DB2A3B1" w14:textId="3469563F"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2.OEM的B2C策略的影响</w:t>
      </w:r>
    </w:p>
    <w:p w14:paraId="393E9963" w14:textId="30FEF596"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lastRenderedPageBreak/>
        <w:t>当品牌商采用</w:t>
      </w:r>
      <w:proofErr w:type="gramStart"/>
      <w:r w:rsidRPr="0001050D">
        <w:rPr>
          <w:rFonts w:ascii="宋体" w:eastAsia="宋体" w:hAnsi="宋体"/>
          <w:sz w:val="24"/>
        </w:rPr>
        <w:t>单渠道</w:t>
      </w:r>
      <w:proofErr w:type="gramEnd"/>
      <w:r w:rsidRPr="0001050D">
        <w:rPr>
          <w:rFonts w:ascii="宋体" w:eastAsia="宋体" w:hAnsi="宋体"/>
          <w:sz w:val="24"/>
        </w:rPr>
        <w:t>策略时，OEM的B2C策略不影响平台分享预测信息的决策；当品牌商采用</w:t>
      </w:r>
      <w:proofErr w:type="gramStart"/>
      <w:r w:rsidRPr="0001050D">
        <w:rPr>
          <w:rFonts w:ascii="宋体" w:eastAsia="宋体" w:hAnsi="宋体"/>
          <w:sz w:val="24"/>
        </w:rPr>
        <w:t>双渠道</w:t>
      </w:r>
      <w:proofErr w:type="gramEnd"/>
      <w:r w:rsidRPr="0001050D">
        <w:rPr>
          <w:rFonts w:ascii="宋体" w:eastAsia="宋体" w:hAnsi="宋体"/>
          <w:sz w:val="24"/>
        </w:rPr>
        <w:t>策略且消费者对品牌在线接受度低时，该策略会阻碍平台分享信息。</w:t>
      </w:r>
    </w:p>
    <w:p w14:paraId="318F4DDF" w14:textId="40203C88"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OEM的B2C策略会降低品牌商从平台预测信息中获得的收益，但不会使信息对品牌</w:t>
      </w:r>
      <w:proofErr w:type="gramStart"/>
      <w:r w:rsidRPr="0001050D">
        <w:rPr>
          <w:rFonts w:ascii="宋体" w:eastAsia="宋体" w:hAnsi="宋体"/>
          <w:sz w:val="24"/>
        </w:rPr>
        <w:t>商产生</w:t>
      </w:r>
      <w:proofErr w:type="gramEnd"/>
      <w:r w:rsidRPr="0001050D">
        <w:rPr>
          <w:rFonts w:ascii="宋体" w:eastAsia="宋体" w:hAnsi="宋体"/>
          <w:sz w:val="24"/>
        </w:rPr>
        <w:t>负面影响。</w:t>
      </w:r>
    </w:p>
    <w:p w14:paraId="61AB34DC" w14:textId="7627DA97"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3.品牌商</w:t>
      </w:r>
      <w:proofErr w:type="gramStart"/>
      <w:r w:rsidRPr="0001050D">
        <w:rPr>
          <w:rFonts w:ascii="宋体" w:eastAsia="宋体" w:hAnsi="宋体"/>
          <w:sz w:val="24"/>
        </w:rPr>
        <w:t>双渠道</w:t>
      </w:r>
      <w:proofErr w:type="gramEnd"/>
      <w:r w:rsidRPr="0001050D">
        <w:rPr>
          <w:rFonts w:ascii="宋体" w:eastAsia="宋体" w:hAnsi="宋体"/>
          <w:sz w:val="24"/>
        </w:rPr>
        <w:t>策略的影响</w:t>
      </w:r>
    </w:p>
    <w:p w14:paraId="0017B564" w14:textId="2FBEFA5C"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当消费者对品牌在线接受度高时，品牌商的</w:t>
      </w:r>
      <w:proofErr w:type="gramStart"/>
      <w:r w:rsidRPr="0001050D">
        <w:rPr>
          <w:rFonts w:ascii="宋体" w:eastAsia="宋体" w:hAnsi="宋体"/>
          <w:sz w:val="24"/>
        </w:rPr>
        <w:t>双渠道</w:t>
      </w:r>
      <w:proofErr w:type="gramEnd"/>
      <w:r w:rsidRPr="0001050D">
        <w:rPr>
          <w:rFonts w:ascii="宋体" w:eastAsia="宋体" w:hAnsi="宋体"/>
          <w:sz w:val="24"/>
        </w:rPr>
        <w:t>策略会阻碍平台分享预测信息。</w:t>
      </w:r>
    </w:p>
    <w:p w14:paraId="28966C29" w14:textId="4C9763CD"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当OEM开展线上业务时，品牌商的</w:t>
      </w:r>
      <w:proofErr w:type="gramStart"/>
      <w:r w:rsidRPr="0001050D">
        <w:rPr>
          <w:rFonts w:ascii="宋体" w:eastAsia="宋体" w:hAnsi="宋体"/>
          <w:sz w:val="24"/>
        </w:rPr>
        <w:t>双渠道</w:t>
      </w:r>
      <w:proofErr w:type="gramEnd"/>
      <w:r w:rsidRPr="0001050D">
        <w:rPr>
          <w:rFonts w:ascii="宋体" w:eastAsia="宋体" w:hAnsi="宋体"/>
          <w:sz w:val="24"/>
        </w:rPr>
        <w:t>策略在一定条件下会增加OEM从平台预测信息中获得的收益。</w:t>
      </w:r>
    </w:p>
    <w:p w14:paraId="2DC02887" w14:textId="1241C542"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4.平台佣金率的影响</w:t>
      </w:r>
    </w:p>
    <w:p w14:paraId="3FDF9D08" w14:textId="25D6D24C"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随着平台佣金率增加，开展线上业务的品牌商从预测信息中获得的收益减少，而当OEM和品牌商均开展线上业务时，OEM的收益增加。</w:t>
      </w:r>
    </w:p>
    <w:p w14:paraId="66646819" w14:textId="19CEDA0D" w:rsidR="0001050D" w:rsidRPr="0001050D" w:rsidRDefault="0001050D" w:rsidP="000F1290">
      <w:pPr>
        <w:spacing w:line="360" w:lineRule="auto"/>
        <w:ind w:firstLineChars="200" w:firstLine="480"/>
        <w:rPr>
          <w:rFonts w:ascii="宋体" w:eastAsia="宋体" w:hAnsi="宋体" w:hint="eastAsia"/>
          <w:sz w:val="24"/>
        </w:rPr>
      </w:pPr>
      <w:r w:rsidRPr="0001050D">
        <w:rPr>
          <w:rFonts w:ascii="宋体" w:eastAsia="宋体" w:hAnsi="宋体"/>
          <w:sz w:val="24"/>
        </w:rPr>
        <w:t>总体上，品牌商从预测信息中获得的收益最高，在</w:t>
      </w:r>
      <w:proofErr w:type="gramStart"/>
      <w:r w:rsidRPr="0001050D">
        <w:rPr>
          <w:rFonts w:ascii="宋体" w:eastAsia="宋体" w:hAnsi="宋体"/>
          <w:sz w:val="24"/>
        </w:rPr>
        <w:t>双渠道</w:t>
      </w:r>
      <w:proofErr w:type="gramEnd"/>
      <w:r w:rsidRPr="0001050D">
        <w:rPr>
          <w:rFonts w:ascii="宋体" w:eastAsia="宋体" w:hAnsi="宋体"/>
          <w:sz w:val="24"/>
        </w:rPr>
        <w:t>策略下优势明显。</w:t>
      </w:r>
    </w:p>
    <w:p w14:paraId="34FA7C6C" w14:textId="221CF7DC" w:rsidR="0001050D" w:rsidRPr="0001050D" w:rsidRDefault="0001050D" w:rsidP="000F1290">
      <w:pPr>
        <w:spacing w:line="360" w:lineRule="auto"/>
        <w:ind w:firstLineChars="200" w:firstLine="480"/>
        <w:rPr>
          <w:rFonts w:ascii="宋体" w:eastAsia="宋体" w:hAnsi="宋体"/>
          <w:sz w:val="24"/>
        </w:rPr>
      </w:pPr>
      <w:r w:rsidRPr="000F1290">
        <w:rPr>
          <w:rFonts w:ascii="宋体" w:eastAsia="宋体" w:hAnsi="宋体" w:hint="eastAsia"/>
          <w:sz w:val="24"/>
        </w:rPr>
        <w:t>四、</w:t>
      </w:r>
      <w:r w:rsidRPr="0001050D">
        <w:rPr>
          <w:rFonts w:ascii="宋体" w:eastAsia="宋体" w:hAnsi="宋体"/>
          <w:sz w:val="24"/>
        </w:rPr>
        <w:t>管理启示</w:t>
      </w:r>
    </w:p>
    <w:p w14:paraId="08840B69" w14:textId="456D8043"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1.OEM策略：一般情况下，OEM应考虑发展线上业务以获取平台预测信息的收益，但当品牌商采用</w:t>
      </w:r>
      <w:proofErr w:type="gramStart"/>
      <w:r w:rsidRPr="0001050D">
        <w:rPr>
          <w:rFonts w:ascii="宋体" w:eastAsia="宋体" w:hAnsi="宋体"/>
          <w:sz w:val="24"/>
        </w:rPr>
        <w:t>双渠道且</w:t>
      </w:r>
      <w:proofErr w:type="gramEnd"/>
      <w:r w:rsidRPr="0001050D">
        <w:rPr>
          <w:rFonts w:ascii="宋体" w:eastAsia="宋体" w:hAnsi="宋体"/>
          <w:sz w:val="24"/>
        </w:rPr>
        <w:t>平台佣金为</w:t>
      </w:r>
      <w:proofErr w:type="gramStart"/>
      <w:r w:rsidRPr="0001050D">
        <w:rPr>
          <w:rFonts w:ascii="宋体" w:eastAsia="宋体" w:hAnsi="宋体"/>
          <w:sz w:val="24"/>
        </w:rPr>
        <w:t>零时需</w:t>
      </w:r>
      <w:proofErr w:type="gramEnd"/>
      <w:r w:rsidRPr="0001050D">
        <w:rPr>
          <w:rFonts w:ascii="宋体" w:eastAsia="宋体" w:hAnsi="宋体"/>
          <w:sz w:val="24"/>
        </w:rPr>
        <w:t>谨慎评估。</w:t>
      </w:r>
    </w:p>
    <w:p w14:paraId="4CB67C42" w14:textId="14DE574B" w:rsidR="0001050D" w:rsidRPr="0001050D" w:rsidRDefault="0001050D" w:rsidP="000F1290">
      <w:pPr>
        <w:spacing w:line="360" w:lineRule="auto"/>
        <w:ind w:firstLineChars="200" w:firstLine="480"/>
        <w:rPr>
          <w:rFonts w:ascii="宋体" w:eastAsia="宋体" w:hAnsi="宋体"/>
          <w:sz w:val="24"/>
        </w:rPr>
      </w:pPr>
      <w:r w:rsidRPr="0001050D">
        <w:rPr>
          <w:rFonts w:ascii="宋体" w:eastAsia="宋体" w:hAnsi="宋体"/>
          <w:sz w:val="24"/>
        </w:rPr>
        <w:t>2.品牌商策略：品牌商应积极采用</w:t>
      </w:r>
      <w:proofErr w:type="gramStart"/>
      <w:r w:rsidRPr="0001050D">
        <w:rPr>
          <w:rFonts w:ascii="宋体" w:eastAsia="宋体" w:hAnsi="宋体"/>
          <w:sz w:val="24"/>
        </w:rPr>
        <w:t>双渠道</w:t>
      </w:r>
      <w:proofErr w:type="gramEnd"/>
      <w:r w:rsidRPr="0001050D">
        <w:rPr>
          <w:rFonts w:ascii="宋体" w:eastAsia="宋体" w:hAnsi="宋体"/>
          <w:sz w:val="24"/>
        </w:rPr>
        <w:t>策略以利用平台预测信息，同时注意OEM开展线上业务带来的影响，充分发挥自身优势。</w:t>
      </w:r>
    </w:p>
    <w:p w14:paraId="4A6D12D0" w14:textId="4C5D8498" w:rsidR="0001050D" w:rsidRPr="0001050D" w:rsidRDefault="0001050D" w:rsidP="000F1290">
      <w:pPr>
        <w:spacing w:line="360" w:lineRule="auto"/>
        <w:ind w:firstLineChars="200" w:firstLine="480"/>
        <w:rPr>
          <w:rFonts w:ascii="宋体" w:eastAsia="宋体" w:hAnsi="宋体" w:hint="eastAsia"/>
          <w:sz w:val="24"/>
        </w:rPr>
      </w:pPr>
      <w:r w:rsidRPr="0001050D">
        <w:rPr>
          <w:rFonts w:ascii="宋体" w:eastAsia="宋体" w:hAnsi="宋体"/>
          <w:sz w:val="24"/>
        </w:rPr>
        <w:t>3.平台策略：平台在分享预测信息时应综合考虑OEM和品牌商的渠道策略及消费者对品牌的在线接受度，以实现自身利益最大化。</w:t>
      </w:r>
    </w:p>
    <w:p w14:paraId="7BD7AB63" w14:textId="2FB10557" w:rsidR="00417F23" w:rsidRPr="000F1290" w:rsidRDefault="00417F23" w:rsidP="000F1290">
      <w:pPr>
        <w:spacing w:line="360" w:lineRule="auto"/>
        <w:ind w:firstLineChars="200" w:firstLine="480"/>
        <w:rPr>
          <w:rFonts w:ascii="宋体" w:eastAsia="宋体" w:hAnsi="宋体" w:hint="eastAsia"/>
          <w:sz w:val="24"/>
        </w:rPr>
      </w:pPr>
    </w:p>
    <w:sectPr w:rsidR="00417F23" w:rsidRPr="000F129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190"/>
    <w:rsid w:val="0001050D"/>
    <w:rsid w:val="000B0C0A"/>
    <w:rsid w:val="000F1290"/>
    <w:rsid w:val="00417F23"/>
    <w:rsid w:val="006D17ED"/>
    <w:rsid w:val="008D1FEE"/>
    <w:rsid w:val="00B510C7"/>
    <w:rsid w:val="00BB5D7C"/>
    <w:rsid w:val="00D621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C882F"/>
  <w15:chartTrackingRefBased/>
  <w15:docId w15:val="{7CA1B46F-35A2-4EA2-AA8A-99F71EB8F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D62190"/>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62190"/>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62190"/>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62190"/>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62190"/>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D62190"/>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62190"/>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62190"/>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D62190"/>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6219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6219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6219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62190"/>
    <w:rPr>
      <w:rFonts w:cstheme="majorBidi"/>
      <w:color w:val="0F4761" w:themeColor="accent1" w:themeShade="BF"/>
      <w:sz w:val="28"/>
      <w:szCs w:val="28"/>
    </w:rPr>
  </w:style>
  <w:style w:type="character" w:customStyle="1" w:styleId="50">
    <w:name w:val="标题 5 字符"/>
    <w:basedOn w:val="a0"/>
    <w:link w:val="5"/>
    <w:uiPriority w:val="9"/>
    <w:semiHidden/>
    <w:rsid w:val="00D62190"/>
    <w:rPr>
      <w:rFonts w:cstheme="majorBidi"/>
      <w:color w:val="0F4761" w:themeColor="accent1" w:themeShade="BF"/>
      <w:sz w:val="24"/>
    </w:rPr>
  </w:style>
  <w:style w:type="character" w:customStyle="1" w:styleId="60">
    <w:name w:val="标题 6 字符"/>
    <w:basedOn w:val="a0"/>
    <w:link w:val="6"/>
    <w:uiPriority w:val="9"/>
    <w:semiHidden/>
    <w:rsid w:val="00D62190"/>
    <w:rPr>
      <w:rFonts w:cstheme="majorBidi"/>
      <w:b/>
      <w:bCs/>
      <w:color w:val="0F4761" w:themeColor="accent1" w:themeShade="BF"/>
    </w:rPr>
  </w:style>
  <w:style w:type="character" w:customStyle="1" w:styleId="70">
    <w:name w:val="标题 7 字符"/>
    <w:basedOn w:val="a0"/>
    <w:link w:val="7"/>
    <w:uiPriority w:val="9"/>
    <w:semiHidden/>
    <w:rsid w:val="00D62190"/>
    <w:rPr>
      <w:rFonts w:cstheme="majorBidi"/>
      <w:b/>
      <w:bCs/>
      <w:color w:val="595959" w:themeColor="text1" w:themeTint="A6"/>
    </w:rPr>
  </w:style>
  <w:style w:type="character" w:customStyle="1" w:styleId="80">
    <w:name w:val="标题 8 字符"/>
    <w:basedOn w:val="a0"/>
    <w:link w:val="8"/>
    <w:uiPriority w:val="9"/>
    <w:semiHidden/>
    <w:rsid w:val="00D62190"/>
    <w:rPr>
      <w:rFonts w:cstheme="majorBidi"/>
      <w:color w:val="595959" w:themeColor="text1" w:themeTint="A6"/>
    </w:rPr>
  </w:style>
  <w:style w:type="character" w:customStyle="1" w:styleId="90">
    <w:name w:val="标题 9 字符"/>
    <w:basedOn w:val="a0"/>
    <w:link w:val="9"/>
    <w:uiPriority w:val="9"/>
    <w:semiHidden/>
    <w:rsid w:val="00D62190"/>
    <w:rPr>
      <w:rFonts w:eastAsiaTheme="majorEastAsia" w:cstheme="majorBidi"/>
      <w:color w:val="595959" w:themeColor="text1" w:themeTint="A6"/>
    </w:rPr>
  </w:style>
  <w:style w:type="paragraph" w:styleId="a3">
    <w:name w:val="Title"/>
    <w:basedOn w:val="a"/>
    <w:next w:val="a"/>
    <w:link w:val="a4"/>
    <w:uiPriority w:val="10"/>
    <w:qFormat/>
    <w:rsid w:val="00D6219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6219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62190"/>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6219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62190"/>
    <w:pPr>
      <w:spacing w:before="160"/>
      <w:jc w:val="center"/>
    </w:pPr>
    <w:rPr>
      <w:i/>
      <w:iCs/>
      <w:color w:val="404040" w:themeColor="text1" w:themeTint="BF"/>
    </w:rPr>
  </w:style>
  <w:style w:type="character" w:customStyle="1" w:styleId="a8">
    <w:name w:val="引用 字符"/>
    <w:basedOn w:val="a0"/>
    <w:link w:val="a7"/>
    <w:uiPriority w:val="29"/>
    <w:rsid w:val="00D62190"/>
    <w:rPr>
      <w:i/>
      <w:iCs/>
      <w:color w:val="404040" w:themeColor="text1" w:themeTint="BF"/>
    </w:rPr>
  </w:style>
  <w:style w:type="paragraph" w:styleId="a9">
    <w:name w:val="List Paragraph"/>
    <w:basedOn w:val="a"/>
    <w:uiPriority w:val="34"/>
    <w:qFormat/>
    <w:rsid w:val="00D62190"/>
    <w:pPr>
      <w:ind w:left="720"/>
      <w:contextualSpacing/>
    </w:pPr>
  </w:style>
  <w:style w:type="character" w:styleId="aa">
    <w:name w:val="Intense Emphasis"/>
    <w:basedOn w:val="a0"/>
    <w:uiPriority w:val="21"/>
    <w:qFormat/>
    <w:rsid w:val="00D62190"/>
    <w:rPr>
      <w:i/>
      <w:iCs/>
      <w:color w:val="0F4761" w:themeColor="accent1" w:themeShade="BF"/>
    </w:rPr>
  </w:style>
  <w:style w:type="paragraph" w:styleId="ab">
    <w:name w:val="Intense Quote"/>
    <w:basedOn w:val="a"/>
    <w:next w:val="a"/>
    <w:link w:val="ac"/>
    <w:uiPriority w:val="30"/>
    <w:qFormat/>
    <w:rsid w:val="00D6219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62190"/>
    <w:rPr>
      <w:i/>
      <w:iCs/>
      <w:color w:val="0F4761" w:themeColor="accent1" w:themeShade="BF"/>
    </w:rPr>
  </w:style>
  <w:style w:type="character" w:styleId="ad">
    <w:name w:val="Intense Reference"/>
    <w:basedOn w:val="a0"/>
    <w:uiPriority w:val="32"/>
    <w:qFormat/>
    <w:rsid w:val="00D6219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198694">
      <w:bodyDiv w:val="1"/>
      <w:marLeft w:val="0"/>
      <w:marRight w:val="0"/>
      <w:marTop w:val="0"/>
      <w:marBottom w:val="0"/>
      <w:divBdr>
        <w:top w:val="none" w:sz="0" w:space="0" w:color="auto"/>
        <w:left w:val="none" w:sz="0" w:space="0" w:color="auto"/>
        <w:bottom w:val="none" w:sz="0" w:space="0" w:color="auto"/>
        <w:right w:val="none" w:sz="0" w:space="0" w:color="auto"/>
      </w:divBdr>
    </w:div>
    <w:div w:id="824854002">
      <w:bodyDiv w:val="1"/>
      <w:marLeft w:val="0"/>
      <w:marRight w:val="0"/>
      <w:marTop w:val="0"/>
      <w:marBottom w:val="0"/>
      <w:divBdr>
        <w:top w:val="none" w:sz="0" w:space="0" w:color="auto"/>
        <w:left w:val="none" w:sz="0" w:space="0" w:color="auto"/>
        <w:bottom w:val="none" w:sz="0" w:space="0" w:color="auto"/>
        <w:right w:val="none" w:sz="0" w:space="0" w:color="auto"/>
      </w:divBdr>
    </w:div>
    <w:div w:id="923104680">
      <w:bodyDiv w:val="1"/>
      <w:marLeft w:val="0"/>
      <w:marRight w:val="0"/>
      <w:marTop w:val="0"/>
      <w:marBottom w:val="0"/>
      <w:divBdr>
        <w:top w:val="none" w:sz="0" w:space="0" w:color="auto"/>
        <w:left w:val="none" w:sz="0" w:space="0" w:color="auto"/>
        <w:bottom w:val="none" w:sz="0" w:space="0" w:color="auto"/>
        <w:right w:val="none" w:sz="0" w:space="0" w:color="auto"/>
      </w:divBdr>
    </w:div>
    <w:div w:id="1298947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261</Words>
  <Characters>1492</Characters>
  <Application>Microsoft Office Word</Application>
  <DocSecurity>0</DocSecurity>
  <Lines>12</Lines>
  <Paragraphs>3</Paragraphs>
  <ScaleCrop>false</ScaleCrop>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8613278819163</dc:creator>
  <cp:keywords/>
  <dc:description/>
  <cp:lastModifiedBy>8613278819163</cp:lastModifiedBy>
  <cp:revision>3</cp:revision>
  <dcterms:created xsi:type="dcterms:W3CDTF">2024-12-22T09:11:00Z</dcterms:created>
  <dcterms:modified xsi:type="dcterms:W3CDTF">2024-12-22T09:27:00Z</dcterms:modified>
</cp:coreProperties>
</file>