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937B5" w14:textId="1B5F1FC5" w:rsidR="00236685" w:rsidRPr="00236685" w:rsidRDefault="00236685" w:rsidP="00236685">
      <w:pPr>
        <w:jc w:val="center"/>
        <w:rPr>
          <w:rFonts w:ascii="黑体" w:eastAsia="黑体" w:hAnsi="黑体" w:hint="eastAsia"/>
          <w:sz w:val="28"/>
          <w:szCs w:val="28"/>
        </w:rPr>
      </w:pPr>
      <w:r w:rsidRPr="00236685">
        <w:rPr>
          <w:rFonts w:ascii="黑体" w:eastAsia="黑体" w:hAnsi="黑体"/>
          <w:sz w:val="28"/>
          <w:szCs w:val="28"/>
        </w:rPr>
        <w:t>数据供应链中数据定价机制研究的阅读报告</w:t>
      </w:r>
    </w:p>
    <w:p w14:paraId="75435D04" w14:textId="2B528D0D" w:rsidR="00236685" w:rsidRPr="00236685" w:rsidRDefault="00236685" w:rsidP="00F427B2">
      <w:pPr>
        <w:spacing w:line="360" w:lineRule="auto"/>
        <w:ind w:firstLineChars="200" w:firstLine="480"/>
        <w:rPr>
          <w:rFonts w:ascii="宋体" w:eastAsia="宋体" w:hAnsi="宋体" w:hint="eastAsia"/>
          <w:sz w:val="24"/>
        </w:rPr>
      </w:pPr>
      <w:r w:rsidRPr="00236685">
        <w:rPr>
          <w:rFonts w:ascii="宋体" w:eastAsia="宋体" w:hAnsi="宋体"/>
          <w:sz w:val="24"/>
        </w:rPr>
        <w:t>在大数据时代，数据被视为新资产在市场上交易，数据定价机制的研究具有重要意义。本论文聚焦数据产品新特性，从数据供应链视角，运用博弈论模型，深入研究三种定价机制（分散式定价、纳什讨价还价定价、收益共享机制）的性能及其对数据行业参与者的影响。</w:t>
      </w:r>
    </w:p>
    <w:p w14:paraId="34546654" w14:textId="6AAABDF6" w:rsidR="00236685" w:rsidRPr="00236685" w:rsidRDefault="00236685" w:rsidP="00F427B2">
      <w:pPr>
        <w:spacing w:line="360" w:lineRule="auto"/>
        <w:ind w:firstLineChars="200" w:firstLine="480"/>
        <w:rPr>
          <w:rFonts w:ascii="宋体" w:eastAsia="宋体" w:hAnsi="宋体"/>
          <w:sz w:val="24"/>
        </w:rPr>
      </w:pPr>
      <w:r w:rsidRPr="00F427B2">
        <w:rPr>
          <w:rFonts w:ascii="宋体" w:eastAsia="宋体" w:hAnsi="宋体" w:hint="eastAsia"/>
          <w:sz w:val="24"/>
        </w:rPr>
        <w:t>一、</w:t>
      </w:r>
      <w:r w:rsidRPr="00236685">
        <w:rPr>
          <w:rFonts w:ascii="宋体" w:eastAsia="宋体" w:hAnsi="宋体"/>
          <w:sz w:val="24"/>
        </w:rPr>
        <w:t>核心观点</w:t>
      </w:r>
    </w:p>
    <w:p w14:paraId="24E6725E" w14:textId="49CBDC33"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1.分散式定价性能最低：在分散式数据供应链中，数据提供者和应用提供者各自决策价格，由于双重边际化问题，其整体利润低于集中式定价。</w:t>
      </w:r>
    </w:p>
    <w:p w14:paraId="37BE4F6C" w14:textId="2CCB7130"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2.纳什讨价还价定价可实现集中式渠道性能但利润平分：该定价机制下，上游数据提供者和下游应用提供者通过讨价还价决定价格，虽能达到集中式渠道的性能，但双方只能平分总渠道利润。</w:t>
      </w:r>
    </w:p>
    <w:p w14:paraId="7AB3AAEE" w14:textId="334688BE" w:rsidR="00236685" w:rsidRPr="00236685" w:rsidRDefault="00236685" w:rsidP="00F427B2">
      <w:pPr>
        <w:spacing w:line="360" w:lineRule="auto"/>
        <w:ind w:firstLineChars="200" w:firstLine="480"/>
        <w:rPr>
          <w:rFonts w:ascii="宋体" w:eastAsia="宋体" w:hAnsi="宋体" w:hint="eastAsia"/>
          <w:sz w:val="24"/>
        </w:rPr>
      </w:pPr>
      <w:r w:rsidRPr="00236685">
        <w:rPr>
          <w:rFonts w:ascii="宋体" w:eastAsia="宋体" w:hAnsi="宋体"/>
          <w:sz w:val="24"/>
        </w:rPr>
        <w:t>3.收益共享机制可实现最优性能且利润分配灵活：数据提供者补贴应用提供者的收益共享机制，能实现最优性能，且双方可按任意比例分配最大利润。</w:t>
      </w:r>
    </w:p>
    <w:p w14:paraId="59B178F3" w14:textId="5D4B5674" w:rsidR="00236685" w:rsidRPr="00236685" w:rsidRDefault="00236685" w:rsidP="00F427B2">
      <w:pPr>
        <w:spacing w:line="360" w:lineRule="auto"/>
        <w:ind w:firstLineChars="200" w:firstLine="480"/>
        <w:rPr>
          <w:rFonts w:ascii="宋体" w:eastAsia="宋体" w:hAnsi="宋体"/>
          <w:sz w:val="24"/>
        </w:rPr>
      </w:pPr>
      <w:r w:rsidRPr="00F427B2">
        <w:rPr>
          <w:rFonts w:ascii="宋体" w:eastAsia="宋体" w:hAnsi="宋体" w:hint="eastAsia"/>
          <w:sz w:val="24"/>
        </w:rPr>
        <w:t>二、</w:t>
      </w:r>
      <w:r w:rsidRPr="00236685">
        <w:rPr>
          <w:rFonts w:ascii="宋体" w:eastAsia="宋体" w:hAnsi="宋体"/>
          <w:sz w:val="24"/>
        </w:rPr>
        <w:t>模型构建与假设</w:t>
      </w:r>
    </w:p>
    <w:p w14:paraId="0879F24D" w14:textId="48EF8B29" w:rsidR="00236685" w:rsidRPr="00F427B2"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1.数据供应链构成：包含上游数据提供者、下游应用提供者和终端用户。数据提供者提供原始数据，应用提供者基于数据开发应用服务终端用户，</w:t>
      </w:r>
      <w:proofErr w:type="gramStart"/>
      <w:r w:rsidRPr="00236685">
        <w:rPr>
          <w:rFonts w:ascii="宋体" w:eastAsia="宋体" w:hAnsi="宋体"/>
          <w:sz w:val="24"/>
        </w:rPr>
        <w:t>且数据</w:t>
      </w:r>
      <w:proofErr w:type="gramEnd"/>
      <w:r w:rsidRPr="00236685">
        <w:rPr>
          <w:rFonts w:ascii="宋体" w:eastAsia="宋体" w:hAnsi="宋体"/>
          <w:sz w:val="24"/>
        </w:rPr>
        <w:t>提供者可通过API收集终端用户反馈数据。</w:t>
      </w:r>
    </w:p>
    <w:p w14:paraId="4F2CF7BF" w14:textId="5E654566" w:rsidR="00236685" w:rsidRPr="00236685" w:rsidRDefault="00236685" w:rsidP="00DE3CFD">
      <w:pPr>
        <w:spacing w:line="360" w:lineRule="auto"/>
        <w:ind w:firstLineChars="200" w:firstLine="480"/>
        <w:jc w:val="center"/>
        <w:rPr>
          <w:rFonts w:ascii="宋体" w:eastAsia="宋体" w:hAnsi="宋体" w:hint="eastAsia"/>
          <w:sz w:val="24"/>
        </w:rPr>
      </w:pPr>
      <w:r w:rsidRPr="00F427B2">
        <w:rPr>
          <w:rFonts w:ascii="宋体" w:eastAsia="宋体" w:hAnsi="宋体"/>
          <w:sz w:val="24"/>
        </w:rPr>
        <w:drawing>
          <wp:inline distT="0" distB="0" distL="0" distR="0" wp14:anchorId="6E243AB6" wp14:editId="4D59A812">
            <wp:extent cx="5274310" cy="1631950"/>
            <wp:effectExtent l="0" t="0" r="2540" b="635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74310" cy="1631950"/>
                    </a:xfrm>
                    <a:prstGeom prst="rect">
                      <a:avLst/>
                    </a:prstGeom>
                  </pic:spPr>
                </pic:pic>
              </a:graphicData>
            </a:graphic>
          </wp:inline>
        </w:drawing>
      </w:r>
    </w:p>
    <w:p w14:paraId="4951164A" w14:textId="2415D5D3"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2.价值不确定性假设：数据价值具有不确定性，用</w:t>
      </w:r>
      <w:proofErr w:type="spellStart"/>
      <w:r w:rsidRPr="00F427B2">
        <w:rPr>
          <w:rFonts w:ascii="宋体" w:eastAsia="宋体" w:hAnsi="宋体" w:hint="eastAsia"/>
          <w:sz w:val="24"/>
        </w:rPr>
        <w:t>rv</w:t>
      </w:r>
      <w:proofErr w:type="spellEnd"/>
      <w:r w:rsidRPr="00236685">
        <w:rPr>
          <w:rFonts w:ascii="宋体" w:eastAsia="宋体" w:hAnsi="宋体"/>
          <w:sz w:val="24"/>
        </w:rPr>
        <w:t>表示，</w:t>
      </w:r>
      <w:r w:rsidRPr="00F427B2">
        <w:rPr>
          <w:rFonts w:ascii="宋体" w:eastAsia="宋体" w:hAnsi="宋体" w:hint="eastAsia"/>
          <w:sz w:val="24"/>
        </w:rPr>
        <w:t>r</w:t>
      </w:r>
      <w:r w:rsidRPr="00236685">
        <w:rPr>
          <w:rFonts w:ascii="宋体" w:eastAsia="宋体" w:hAnsi="宋体"/>
          <w:sz w:val="24"/>
        </w:rPr>
        <w:t>均匀分布于[r,1]</w:t>
      </w:r>
      <w:r w:rsidRPr="00F427B2">
        <w:rPr>
          <w:rFonts w:ascii="宋体" w:eastAsia="宋体" w:hAnsi="宋体" w:hint="eastAsia"/>
          <w:sz w:val="24"/>
        </w:rPr>
        <w:t>，</w:t>
      </w:r>
      <w:r w:rsidRPr="00236685">
        <w:rPr>
          <w:rFonts w:ascii="宋体" w:eastAsia="宋体" w:hAnsi="宋体"/>
          <w:sz w:val="24"/>
        </w:rPr>
        <w:t>r增加</w:t>
      </w:r>
      <w:proofErr w:type="gramStart"/>
      <w:r w:rsidRPr="00236685">
        <w:rPr>
          <w:rFonts w:ascii="宋体" w:eastAsia="宋体" w:hAnsi="宋体"/>
          <w:sz w:val="24"/>
        </w:rPr>
        <w:t>时数据</w:t>
      </w:r>
      <w:proofErr w:type="gramEnd"/>
      <w:r w:rsidRPr="00236685">
        <w:rPr>
          <w:rFonts w:ascii="宋体" w:eastAsia="宋体" w:hAnsi="宋体"/>
          <w:sz w:val="24"/>
        </w:rPr>
        <w:t>价值不确定性降低。</w:t>
      </w:r>
    </w:p>
    <w:p w14:paraId="201A1A6A" w14:textId="02354261" w:rsidR="00236685" w:rsidRPr="00236685" w:rsidRDefault="00236685" w:rsidP="00F427B2">
      <w:pPr>
        <w:spacing w:line="360" w:lineRule="auto"/>
        <w:ind w:firstLineChars="200" w:firstLine="480"/>
        <w:rPr>
          <w:rFonts w:ascii="宋体" w:eastAsia="宋体" w:hAnsi="宋体"/>
          <w:sz w:val="24"/>
        </w:rPr>
      </w:pPr>
      <w:r w:rsidRPr="00F427B2">
        <w:rPr>
          <w:rFonts w:ascii="宋体" w:eastAsia="宋体" w:hAnsi="宋体" w:hint="eastAsia"/>
          <w:sz w:val="24"/>
        </w:rPr>
        <w:t>三、</w:t>
      </w:r>
      <w:r w:rsidRPr="00236685">
        <w:rPr>
          <w:rFonts w:ascii="宋体" w:eastAsia="宋体" w:hAnsi="宋体"/>
          <w:sz w:val="24"/>
        </w:rPr>
        <w:t>三种定价机制分析</w:t>
      </w:r>
    </w:p>
    <w:p w14:paraId="24742116" w14:textId="476C38C0"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lastRenderedPageBreak/>
        <w:t>1.分散式与集中式定价模型</w:t>
      </w:r>
    </w:p>
    <w:p w14:paraId="162614E6" w14:textId="2289E755"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分散式定价：数据提供者向应用提供者收取单位使用价格</w:t>
      </w:r>
      <w:r w:rsidRPr="00F427B2">
        <w:rPr>
          <w:rFonts w:ascii="宋体" w:eastAsia="宋体" w:hAnsi="宋体" w:hint="eastAsia"/>
          <w:sz w:val="24"/>
        </w:rPr>
        <w:t>w</w:t>
      </w:r>
      <w:r w:rsidRPr="00236685">
        <w:rPr>
          <w:rFonts w:ascii="宋体" w:eastAsia="宋体" w:hAnsi="宋体"/>
          <w:sz w:val="24"/>
        </w:rPr>
        <w:t>，应用提供者向终端用户收取价格</w:t>
      </w:r>
      <w:r w:rsidRPr="00F427B2">
        <w:rPr>
          <w:rFonts w:ascii="宋体" w:eastAsia="宋体" w:hAnsi="宋体" w:hint="eastAsia"/>
          <w:sz w:val="24"/>
        </w:rPr>
        <w:t>p</w:t>
      </w:r>
      <w:r w:rsidRPr="00236685">
        <w:rPr>
          <w:rFonts w:ascii="宋体" w:eastAsia="宋体" w:hAnsi="宋体"/>
          <w:sz w:val="24"/>
        </w:rPr>
        <w:t>。通过两阶段博弈求解，得出均衡价格和各方利润。当反馈数据价值相对显著时，所有利润与</w:t>
      </w:r>
      <w:r w:rsidRPr="00F427B2">
        <w:rPr>
          <w:rFonts w:ascii="宋体" w:eastAsia="宋体" w:hAnsi="宋体" w:hint="eastAsia"/>
          <w:sz w:val="24"/>
        </w:rPr>
        <w:t>r</w:t>
      </w:r>
      <w:r w:rsidRPr="00236685">
        <w:rPr>
          <w:rFonts w:ascii="宋体" w:eastAsia="宋体" w:hAnsi="宋体"/>
          <w:sz w:val="24"/>
        </w:rPr>
        <w:t>负相关，与</w:t>
      </w:r>
      <w:r w:rsidRPr="00F427B2">
        <w:rPr>
          <w:rFonts w:ascii="宋体" w:eastAsia="宋体" w:hAnsi="宋体" w:hint="eastAsia"/>
          <w:sz w:val="24"/>
        </w:rPr>
        <w:t>d</w:t>
      </w:r>
      <w:r w:rsidRPr="00236685">
        <w:rPr>
          <w:rFonts w:ascii="宋体" w:eastAsia="宋体" w:hAnsi="宋体"/>
          <w:sz w:val="24"/>
        </w:rPr>
        <w:t>正相关，这与直觉相悖，原因是双重边际化影响。</w:t>
      </w:r>
    </w:p>
    <w:p w14:paraId="4DFC6F1B" w14:textId="0EF8C7B5"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集中式定价：计算得出均衡价格、渠道利润和消费者剩余，为后续定价机制比较提供基准。</w:t>
      </w:r>
    </w:p>
    <w:p w14:paraId="683F3772" w14:textId="5B6AF96B"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2.纳什讨价还价定价模型</w:t>
      </w:r>
    </w:p>
    <w:p w14:paraId="5C3F0C0B" w14:textId="0178DBD8"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讨价还价共享比例模型：数据提供者和应用提供者先就共享比例</w:t>
      </w:r>
      <w:r w:rsidRPr="00F427B2">
        <w:rPr>
          <w:rFonts w:ascii="宋体" w:eastAsia="宋体" w:hAnsi="宋体"/>
          <w:sz w:val="24"/>
        </w:rPr>
        <w:t>α</w:t>
      </w:r>
      <w:r w:rsidRPr="00236685">
        <w:rPr>
          <w:rFonts w:ascii="宋体" w:eastAsia="宋体" w:hAnsi="宋体"/>
          <w:sz w:val="24"/>
        </w:rPr>
        <w:t>讨价还价，再</w:t>
      </w:r>
      <w:proofErr w:type="gramStart"/>
      <w:r w:rsidRPr="00236685">
        <w:rPr>
          <w:rFonts w:ascii="宋体" w:eastAsia="宋体" w:hAnsi="宋体"/>
          <w:sz w:val="24"/>
        </w:rPr>
        <w:t>由应用</w:t>
      </w:r>
      <w:proofErr w:type="gramEnd"/>
      <w:r w:rsidRPr="00236685">
        <w:rPr>
          <w:rFonts w:ascii="宋体" w:eastAsia="宋体" w:hAnsi="宋体"/>
          <w:sz w:val="24"/>
        </w:rPr>
        <w:t>提供者决定应用价格。得出最优共享比例和价格，以及各方预期利润和消费者剩余，同时证明数据提供者无隐藏反馈数据价值信息的激励。</w:t>
      </w:r>
    </w:p>
    <w:p w14:paraId="79BDF6F5" w14:textId="6C1D96C8"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讨价还价共享比例与价格模型：双方同时就共享比例</w:t>
      </w:r>
      <w:r w:rsidRPr="00F427B2">
        <w:rPr>
          <w:rFonts w:ascii="宋体" w:eastAsia="宋体" w:hAnsi="宋体"/>
          <w:sz w:val="24"/>
        </w:rPr>
        <w:t>α</w:t>
      </w:r>
      <w:r w:rsidRPr="00236685">
        <w:rPr>
          <w:rFonts w:ascii="宋体" w:eastAsia="宋体" w:hAnsi="宋体"/>
          <w:sz w:val="24"/>
        </w:rPr>
        <w:t>和价格</w:t>
      </w:r>
      <w:r w:rsidRPr="00F427B2">
        <w:rPr>
          <w:rFonts w:ascii="宋体" w:eastAsia="宋体" w:hAnsi="宋体" w:hint="eastAsia"/>
          <w:sz w:val="24"/>
        </w:rPr>
        <w:t>p</w:t>
      </w:r>
      <w:r w:rsidRPr="00236685">
        <w:rPr>
          <w:rFonts w:ascii="宋体" w:eastAsia="宋体" w:hAnsi="宋体"/>
          <w:sz w:val="24"/>
        </w:rPr>
        <w:t>讨价还价，求解得出均衡解。比较两个讨价还价模型，发现同时讨价还价共享比例和价格的模型性能更优，且上下游利润分配比例固定为</w:t>
      </w:r>
      <w:r w:rsidRPr="00F427B2">
        <w:rPr>
          <w:rFonts w:ascii="宋体" w:eastAsia="宋体" w:hAnsi="宋体" w:hint="eastAsia"/>
          <w:sz w:val="24"/>
        </w:rPr>
        <w:t>1/2</w:t>
      </w:r>
      <w:r w:rsidRPr="00236685">
        <w:rPr>
          <w:rFonts w:ascii="宋体" w:eastAsia="宋体" w:hAnsi="宋体"/>
          <w:sz w:val="24"/>
        </w:rPr>
        <w:t>。</w:t>
      </w:r>
    </w:p>
    <w:p w14:paraId="07B8039A" w14:textId="744F049F" w:rsidR="00236685" w:rsidRPr="00236685" w:rsidRDefault="00236685" w:rsidP="00F427B2">
      <w:pPr>
        <w:spacing w:line="360" w:lineRule="auto"/>
        <w:ind w:firstLineChars="200" w:firstLine="480"/>
        <w:rPr>
          <w:rFonts w:ascii="宋体" w:eastAsia="宋体" w:hAnsi="宋体"/>
          <w:sz w:val="24"/>
        </w:rPr>
      </w:pPr>
      <w:r w:rsidRPr="00236685">
        <w:rPr>
          <w:rFonts w:ascii="宋体" w:eastAsia="宋体" w:hAnsi="宋体"/>
          <w:sz w:val="24"/>
        </w:rPr>
        <w:t>3.定价机制比较</w:t>
      </w:r>
    </w:p>
    <w:p w14:paraId="6DED202E" w14:textId="462E6028" w:rsidR="00236685" w:rsidRPr="00236685" w:rsidRDefault="00236685" w:rsidP="00F427B2">
      <w:pPr>
        <w:spacing w:line="360" w:lineRule="auto"/>
        <w:ind w:firstLineChars="200" w:firstLine="480"/>
        <w:rPr>
          <w:rFonts w:ascii="宋体" w:eastAsia="宋体" w:hAnsi="宋体" w:hint="eastAsia"/>
          <w:sz w:val="24"/>
        </w:rPr>
      </w:pPr>
      <w:r w:rsidRPr="00236685">
        <w:rPr>
          <w:rFonts w:ascii="宋体" w:eastAsia="宋体" w:hAnsi="宋体"/>
          <w:sz w:val="24"/>
        </w:rPr>
        <w:t>对数据提供者而言，分散式定价与讨价还价共享比例和价格模型等价且优于仅讨价还价共享比例模型；对应用提供者、终端用户和整个数据供应链，后一种模型最优，分散式定价最差，体现了供应链中参与者定价机制偏好的冲突。</w:t>
      </w:r>
    </w:p>
    <w:p w14:paraId="3CF86DFC" w14:textId="5E1E112E" w:rsidR="00236685" w:rsidRPr="00236685" w:rsidRDefault="00236685" w:rsidP="00F427B2">
      <w:pPr>
        <w:spacing w:line="360" w:lineRule="auto"/>
        <w:ind w:firstLineChars="200" w:firstLine="480"/>
        <w:rPr>
          <w:rFonts w:ascii="宋体" w:eastAsia="宋体" w:hAnsi="宋体"/>
          <w:sz w:val="24"/>
        </w:rPr>
      </w:pPr>
      <w:r w:rsidRPr="00F427B2">
        <w:rPr>
          <w:rFonts w:ascii="宋体" w:eastAsia="宋体" w:hAnsi="宋体" w:hint="eastAsia"/>
          <w:sz w:val="24"/>
        </w:rPr>
        <w:t>四、</w:t>
      </w:r>
      <w:r w:rsidRPr="00236685">
        <w:rPr>
          <w:rFonts w:ascii="宋体" w:eastAsia="宋体" w:hAnsi="宋体"/>
          <w:sz w:val="24"/>
        </w:rPr>
        <w:t>收益共享协调定价</w:t>
      </w:r>
    </w:p>
    <w:p w14:paraId="1B83F7EE" w14:textId="5276E86D" w:rsidR="00236685" w:rsidRPr="00236685" w:rsidRDefault="00236685" w:rsidP="00F427B2">
      <w:pPr>
        <w:spacing w:line="360" w:lineRule="auto"/>
        <w:ind w:firstLineChars="200" w:firstLine="480"/>
        <w:rPr>
          <w:rFonts w:ascii="宋体" w:eastAsia="宋体" w:hAnsi="宋体" w:hint="eastAsia"/>
          <w:sz w:val="24"/>
        </w:rPr>
      </w:pPr>
      <w:r w:rsidRPr="00236685">
        <w:rPr>
          <w:rFonts w:ascii="宋体" w:eastAsia="宋体" w:hAnsi="宋体"/>
          <w:sz w:val="24"/>
        </w:rPr>
        <w:t>收益共享合同需应用提供者支付前期数据使用费用w'，当合同参数满足w'=</w:t>
      </w:r>
      <w:r w:rsidRPr="00F427B2">
        <w:rPr>
          <w:rFonts w:ascii="宋体" w:eastAsia="宋体" w:hAnsi="宋体" w:hint="eastAsia"/>
          <w:sz w:val="24"/>
        </w:rPr>
        <w:t>(</w:t>
      </w:r>
      <w:r w:rsidRPr="00F427B2">
        <w:rPr>
          <w:rFonts w:ascii="宋体" w:eastAsia="宋体" w:hAnsi="宋体"/>
          <w:sz w:val="24"/>
        </w:rPr>
        <w:t>ρ</w:t>
      </w:r>
      <w:r w:rsidRPr="00F427B2">
        <w:rPr>
          <w:rFonts w:ascii="宋体" w:eastAsia="宋体" w:hAnsi="宋体" w:hint="eastAsia"/>
          <w:sz w:val="24"/>
        </w:rPr>
        <w:t>-1)</w:t>
      </w:r>
      <w:r w:rsidRPr="00236685">
        <w:rPr>
          <w:rFonts w:ascii="宋体" w:eastAsia="宋体" w:hAnsi="宋体"/>
          <w:sz w:val="24"/>
        </w:rPr>
        <w:t>d</w:t>
      </w:r>
      <w:r w:rsidRPr="00F427B2">
        <w:rPr>
          <w:rFonts w:ascii="宋体" w:eastAsia="宋体" w:hAnsi="宋体" w:hint="eastAsia"/>
          <w:sz w:val="24"/>
        </w:rPr>
        <w:t xml:space="preserve"> </w:t>
      </w:r>
      <w:r w:rsidRPr="00236685">
        <w:rPr>
          <w:rFonts w:ascii="宋体" w:eastAsia="宋体" w:hAnsi="宋体"/>
          <w:sz w:val="24"/>
        </w:rPr>
        <w:t>(0&lt;</w:t>
      </w:r>
      <w:r w:rsidRPr="00F427B2">
        <w:rPr>
          <w:rFonts w:ascii="宋体" w:eastAsia="宋体" w:hAnsi="宋体"/>
          <w:sz w:val="24"/>
        </w:rPr>
        <w:t>ρ</w:t>
      </w:r>
      <w:r w:rsidRPr="00236685">
        <w:rPr>
          <w:rFonts w:ascii="宋体" w:eastAsia="宋体" w:hAnsi="宋体"/>
          <w:sz w:val="24"/>
        </w:rPr>
        <w:t>&lt;1</w:t>
      </w:r>
      <w:r w:rsidRPr="00F427B2">
        <w:rPr>
          <w:rFonts w:ascii="宋体" w:eastAsia="宋体" w:hAnsi="宋体" w:hint="eastAsia"/>
          <w:sz w:val="24"/>
        </w:rPr>
        <w:t>)</w:t>
      </w:r>
      <w:r w:rsidRPr="00236685">
        <w:rPr>
          <w:rFonts w:ascii="宋体" w:eastAsia="宋体" w:hAnsi="宋体"/>
          <w:sz w:val="24"/>
        </w:rPr>
        <w:t>时，数据供应链可完美协调，数据提供者需补贴应用提供者，双方能以任意比例分享最大供应链利润，为各参与者提供了双赢策略。</w:t>
      </w:r>
    </w:p>
    <w:p w14:paraId="30CB3004" w14:textId="65345C0C" w:rsidR="00236685" w:rsidRPr="00236685" w:rsidRDefault="00236685" w:rsidP="00F427B2">
      <w:pPr>
        <w:spacing w:line="360" w:lineRule="auto"/>
        <w:ind w:firstLineChars="200" w:firstLine="480"/>
        <w:rPr>
          <w:rFonts w:ascii="宋体" w:eastAsia="宋体" w:hAnsi="宋体"/>
          <w:sz w:val="24"/>
        </w:rPr>
      </w:pPr>
      <w:r w:rsidRPr="00F427B2">
        <w:rPr>
          <w:rFonts w:ascii="宋体" w:eastAsia="宋体" w:hAnsi="宋体" w:hint="eastAsia"/>
          <w:sz w:val="24"/>
        </w:rPr>
        <w:t>五、</w:t>
      </w:r>
      <w:r w:rsidRPr="00236685">
        <w:rPr>
          <w:rFonts w:ascii="宋体" w:eastAsia="宋体" w:hAnsi="宋体"/>
          <w:sz w:val="24"/>
        </w:rPr>
        <w:t>研究结论</w:t>
      </w:r>
    </w:p>
    <w:p w14:paraId="3B40B6D1" w14:textId="24BC126D" w:rsidR="00236685" w:rsidRPr="00236685" w:rsidRDefault="00236685" w:rsidP="00F427B2">
      <w:pPr>
        <w:spacing w:line="360" w:lineRule="auto"/>
        <w:ind w:firstLineChars="200" w:firstLine="480"/>
        <w:rPr>
          <w:rFonts w:ascii="宋体" w:eastAsia="宋体" w:hAnsi="宋体" w:hint="eastAsia"/>
          <w:sz w:val="24"/>
        </w:rPr>
      </w:pPr>
      <w:r w:rsidRPr="00236685">
        <w:rPr>
          <w:rFonts w:ascii="宋体" w:eastAsia="宋体" w:hAnsi="宋体"/>
          <w:sz w:val="24"/>
        </w:rPr>
        <w:t>分散式定价性能低，纳什讨价还价定价能实现集中式性能但利润分配固定，收益共享机制最优且分配灵活，终端用户在讨价还价定价和收益共享机制</w:t>
      </w:r>
      <w:r w:rsidRPr="00236685">
        <w:rPr>
          <w:rFonts w:ascii="宋体" w:eastAsia="宋体" w:hAnsi="宋体"/>
          <w:sz w:val="24"/>
        </w:rPr>
        <w:lastRenderedPageBreak/>
        <w:t>中受益最大。</w:t>
      </w:r>
    </w:p>
    <w:p w14:paraId="7A04A7C8" w14:textId="4A9C2232" w:rsidR="00417F23" w:rsidRPr="00236685" w:rsidRDefault="00417F23" w:rsidP="00236685">
      <w:pPr>
        <w:rPr>
          <w:rFonts w:hint="eastAsia"/>
        </w:rPr>
      </w:pPr>
    </w:p>
    <w:sectPr w:rsidR="00417F23" w:rsidRPr="0023668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F43"/>
    <w:rsid w:val="00014B0A"/>
    <w:rsid w:val="000B0C0A"/>
    <w:rsid w:val="00236685"/>
    <w:rsid w:val="002D52CA"/>
    <w:rsid w:val="00417F23"/>
    <w:rsid w:val="006A5671"/>
    <w:rsid w:val="008D1FEE"/>
    <w:rsid w:val="00A52F43"/>
    <w:rsid w:val="00A6310B"/>
    <w:rsid w:val="00AE69FB"/>
    <w:rsid w:val="00B510C7"/>
    <w:rsid w:val="00DE3CFD"/>
    <w:rsid w:val="00F42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F0F6F6"/>
  <w15:chartTrackingRefBased/>
  <w15:docId w15:val="{3A7BDBE5-E7A6-4793-8FFC-517FA2D8D3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52F43"/>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52F43"/>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52F43"/>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52F43"/>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52F43"/>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52F43"/>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52F43"/>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52F43"/>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52F43"/>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52F43"/>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52F43"/>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52F43"/>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52F43"/>
    <w:rPr>
      <w:rFonts w:cstheme="majorBidi"/>
      <w:color w:val="0F4761" w:themeColor="accent1" w:themeShade="BF"/>
      <w:sz w:val="28"/>
      <w:szCs w:val="28"/>
    </w:rPr>
  </w:style>
  <w:style w:type="character" w:customStyle="1" w:styleId="50">
    <w:name w:val="标题 5 字符"/>
    <w:basedOn w:val="a0"/>
    <w:link w:val="5"/>
    <w:uiPriority w:val="9"/>
    <w:semiHidden/>
    <w:rsid w:val="00A52F43"/>
    <w:rPr>
      <w:rFonts w:cstheme="majorBidi"/>
      <w:color w:val="0F4761" w:themeColor="accent1" w:themeShade="BF"/>
      <w:sz w:val="24"/>
    </w:rPr>
  </w:style>
  <w:style w:type="character" w:customStyle="1" w:styleId="60">
    <w:name w:val="标题 6 字符"/>
    <w:basedOn w:val="a0"/>
    <w:link w:val="6"/>
    <w:uiPriority w:val="9"/>
    <w:semiHidden/>
    <w:rsid w:val="00A52F43"/>
    <w:rPr>
      <w:rFonts w:cstheme="majorBidi"/>
      <w:b/>
      <w:bCs/>
      <w:color w:val="0F4761" w:themeColor="accent1" w:themeShade="BF"/>
    </w:rPr>
  </w:style>
  <w:style w:type="character" w:customStyle="1" w:styleId="70">
    <w:name w:val="标题 7 字符"/>
    <w:basedOn w:val="a0"/>
    <w:link w:val="7"/>
    <w:uiPriority w:val="9"/>
    <w:semiHidden/>
    <w:rsid w:val="00A52F43"/>
    <w:rPr>
      <w:rFonts w:cstheme="majorBidi"/>
      <w:b/>
      <w:bCs/>
      <w:color w:val="595959" w:themeColor="text1" w:themeTint="A6"/>
    </w:rPr>
  </w:style>
  <w:style w:type="character" w:customStyle="1" w:styleId="80">
    <w:name w:val="标题 8 字符"/>
    <w:basedOn w:val="a0"/>
    <w:link w:val="8"/>
    <w:uiPriority w:val="9"/>
    <w:semiHidden/>
    <w:rsid w:val="00A52F43"/>
    <w:rPr>
      <w:rFonts w:cstheme="majorBidi"/>
      <w:color w:val="595959" w:themeColor="text1" w:themeTint="A6"/>
    </w:rPr>
  </w:style>
  <w:style w:type="character" w:customStyle="1" w:styleId="90">
    <w:name w:val="标题 9 字符"/>
    <w:basedOn w:val="a0"/>
    <w:link w:val="9"/>
    <w:uiPriority w:val="9"/>
    <w:semiHidden/>
    <w:rsid w:val="00A52F43"/>
    <w:rPr>
      <w:rFonts w:eastAsiaTheme="majorEastAsia" w:cstheme="majorBidi"/>
      <w:color w:val="595959" w:themeColor="text1" w:themeTint="A6"/>
    </w:rPr>
  </w:style>
  <w:style w:type="paragraph" w:styleId="a3">
    <w:name w:val="Title"/>
    <w:basedOn w:val="a"/>
    <w:next w:val="a"/>
    <w:link w:val="a4"/>
    <w:uiPriority w:val="10"/>
    <w:qFormat/>
    <w:rsid w:val="00A52F4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52F4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52F4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52F4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52F43"/>
    <w:pPr>
      <w:spacing w:before="160"/>
      <w:jc w:val="center"/>
    </w:pPr>
    <w:rPr>
      <w:i/>
      <w:iCs/>
      <w:color w:val="404040" w:themeColor="text1" w:themeTint="BF"/>
    </w:rPr>
  </w:style>
  <w:style w:type="character" w:customStyle="1" w:styleId="a8">
    <w:name w:val="引用 字符"/>
    <w:basedOn w:val="a0"/>
    <w:link w:val="a7"/>
    <w:uiPriority w:val="29"/>
    <w:rsid w:val="00A52F43"/>
    <w:rPr>
      <w:i/>
      <w:iCs/>
      <w:color w:val="404040" w:themeColor="text1" w:themeTint="BF"/>
    </w:rPr>
  </w:style>
  <w:style w:type="paragraph" w:styleId="a9">
    <w:name w:val="List Paragraph"/>
    <w:basedOn w:val="a"/>
    <w:uiPriority w:val="34"/>
    <w:qFormat/>
    <w:rsid w:val="00A52F43"/>
    <w:pPr>
      <w:ind w:left="720"/>
      <w:contextualSpacing/>
    </w:pPr>
  </w:style>
  <w:style w:type="character" w:styleId="aa">
    <w:name w:val="Intense Emphasis"/>
    <w:basedOn w:val="a0"/>
    <w:uiPriority w:val="21"/>
    <w:qFormat/>
    <w:rsid w:val="00A52F43"/>
    <w:rPr>
      <w:i/>
      <w:iCs/>
      <w:color w:val="0F4761" w:themeColor="accent1" w:themeShade="BF"/>
    </w:rPr>
  </w:style>
  <w:style w:type="paragraph" w:styleId="ab">
    <w:name w:val="Intense Quote"/>
    <w:basedOn w:val="a"/>
    <w:next w:val="a"/>
    <w:link w:val="ac"/>
    <w:uiPriority w:val="30"/>
    <w:qFormat/>
    <w:rsid w:val="00A52F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52F43"/>
    <w:rPr>
      <w:i/>
      <w:iCs/>
      <w:color w:val="0F4761" w:themeColor="accent1" w:themeShade="BF"/>
    </w:rPr>
  </w:style>
  <w:style w:type="character" w:styleId="ad">
    <w:name w:val="Intense Reference"/>
    <w:basedOn w:val="a0"/>
    <w:uiPriority w:val="32"/>
    <w:qFormat/>
    <w:rsid w:val="00A52F4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15248">
      <w:bodyDiv w:val="1"/>
      <w:marLeft w:val="0"/>
      <w:marRight w:val="0"/>
      <w:marTop w:val="0"/>
      <w:marBottom w:val="0"/>
      <w:divBdr>
        <w:top w:val="none" w:sz="0" w:space="0" w:color="auto"/>
        <w:left w:val="none" w:sz="0" w:space="0" w:color="auto"/>
        <w:bottom w:val="none" w:sz="0" w:space="0" w:color="auto"/>
        <w:right w:val="none" w:sz="0" w:space="0" w:color="auto"/>
      </w:divBdr>
    </w:div>
    <w:div w:id="559874372">
      <w:bodyDiv w:val="1"/>
      <w:marLeft w:val="0"/>
      <w:marRight w:val="0"/>
      <w:marTop w:val="0"/>
      <w:marBottom w:val="0"/>
      <w:divBdr>
        <w:top w:val="none" w:sz="0" w:space="0" w:color="auto"/>
        <w:left w:val="none" w:sz="0" w:space="0" w:color="auto"/>
        <w:bottom w:val="none" w:sz="0" w:space="0" w:color="auto"/>
        <w:right w:val="none" w:sz="0" w:space="0" w:color="auto"/>
      </w:divBdr>
    </w:div>
    <w:div w:id="1677616634">
      <w:bodyDiv w:val="1"/>
      <w:marLeft w:val="0"/>
      <w:marRight w:val="0"/>
      <w:marTop w:val="0"/>
      <w:marBottom w:val="0"/>
      <w:divBdr>
        <w:top w:val="none" w:sz="0" w:space="0" w:color="auto"/>
        <w:left w:val="none" w:sz="0" w:space="0" w:color="auto"/>
        <w:bottom w:val="none" w:sz="0" w:space="0" w:color="auto"/>
        <w:right w:val="none" w:sz="0" w:space="0" w:color="auto"/>
      </w:divBdr>
    </w:div>
    <w:div w:id="209500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181</Words>
  <Characters>1036</Characters>
  <Application>Microsoft Office Word</Application>
  <DocSecurity>0</DocSecurity>
  <Lines>8</Lines>
  <Paragraphs>2</Paragraphs>
  <ScaleCrop>false</ScaleCrop>
  <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8613278819163</dc:creator>
  <cp:keywords/>
  <dc:description/>
  <cp:lastModifiedBy>8613278819163</cp:lastModifiedBy>
  <cp:revision>10</cp:revision>
  <dcterms:created xsi:type="dcterms:W3CDTF">2024-12-22T09:29:00Z</dcterms:created>
  <dcterms:modified xsi:type="dcterms:W3CDTF">2024-12-22T09:50:00Z</dcterms:modified>
</cp:coreProperties>
</file>