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07E6D" w14:textId="6AF277D2" w:rsidR="00464725" w:rsidRPr="00464725" w:rsidRDefault="006D3B15" w:rsidP="006D3B15">
      <w:pPr>
        <w:pStyle w:val="a7"/>
      </w:pPr>
      <w:r w:rsidRPr="006D3B15">
        <w:t>When is it wise to use artificial intelligence for platform operations considering consumer returns</w:t>
      </w:r>
      <w:r w:rsidR="00464725" w:rsidRPr="00464725">
        <w:t>阅读报告</w:t>
      </w:r>
    </w:p>
    <w:p w14:paraId="60BEF3F0" w14:textId="77777777" w:rsidR="00464725" w:rsidRPr="00464725" w:rsidRDefault="00464725" w:rsidP="00464725">
      <w:pPr>
        <w:rPr>
          <w:b/>
          <w:bCs/>
        </w:rPr>
      </w:pPr>
      <w:r w:rsidRPr="00464725">
        <w:rPr>
          <w:b/>
          <w:bCs/>
        </w:rPr>
        <w:t>一、研究背景与目标</w:t>
      </w:r>
    </w:p>
    <w:p w14:paraId="18A11DF3" w14:textId="77777777" w:rsidR="00464725" w:rsidRPr="00464725" w:rsidRDefault="00464725" w:rsidP="00464725">
      <w:r w:rsidRPr="00464725">
        <w:rPr>
          <w:b/>
          <w:bCs/>
        </w:rPr>
        <w:t>背景</w:t>
      </w:r>
      <w:r w:rsidRPr="00464725">
        <w:t>：绿色产品开发是当前应对环境挑战和实现可持续发展的重要领域。尽管绿色产品能够显著减少环境污染并提升企业声誉，但其开发过程面临高昂的研发成本和失败风险。例如，尽管日本自1974年以来已在氢能源与燃料电池领域投入约150亿美元，但其市场化成效仍不明朗。这种情况导致许多企业对绿色产品的投资意愿较低。</w:t>
      </w:r>
    </w:p>
    <w:p w14:paraId="330142BC" w14:textId="234D65FF" w:rsidR="00464725" w:rsidRPr="00464725" w:rsidRDefault="00464725" w:rsidP="00464725">
      <w:pPr>
        <w:rPr>
          <w:rFonts w:hint="eastAsia"/>
        </w:rPr>
      </w:pPr>
      <w:r w:rsidRPr="00464725">
        <w:rPr>
          <w:b/>
          <w:bCs/>
        </w:rPr>
        <w:t>研究目标</w:t>
      </w:r>
      <w:r w:rsidRPr="00464725">
        <w:t>：本文旨在探讨政府补贴如何影响企业开发绿色产品的决策，重点分析补贴水平如何影响社会福利（包括企业利润、消费者剩余和环境改善）。为此，作者通过构建</w:t>
      </w:r>
      <w:r w:rsidRPr="00464725">
        <w:rPr>
          <w:b/>
          <w:bCs/>
        </w:rPr>
        <w:t>两阶段Stackelberg博弈模型</w:t>
      </w:r>
      <w:r w:rsidRPr="00464725">
        <w:t>，研究了垄断企业在两种营销策略（大众营销和市场细分）下的行为，并提出了最优补贴水平的选择方法。</w:t>
      </w:r>
    </w:p>
    <w:p w14:paraId="5269EBC1" w14:textId="77777777" w:rsidR="00464725" w:rsidRPr="00464725" w:rsidRDefault="00464725" w:rsidP="00464725">
      <w:pPr>
        <w:rPr>
          <w:b/>
          <w:bCs/>
        </w:rPr>
      </w:pPr>
      <w:r w:rsidRPr="00464725">
        <w:rPr>
          <w:b/>
          <w:bCs/>
        </w:rPr>
        <w:t>二、研究方法与创新性贡献</w:t>
      </w:r>
    </w:p>
    <w:p w14:paraId="44863390" w14:textId="77777777" w:rsidR="00464725" w:rsidRPr="00464725" w:rsidRDefault="00464725" w:rsidP="00464725">
      <w:r w:rsidRPr="00464725">
        <w:t>本文采用</w:t>
      </w:r>
      <w:r w:rsidRPr="00464725">
        <w:rPr>
          <w:b/>
          <w:bCs/>
        </w:rPr>
        <w:t>两阶段Stackelberg博弈模型</w:t>
      </w:r>
      <w:r w:rsidRPr="00464725">
        <w:t>分析企业与政府之间的互动：</w:t>
      </w:r>
    </w:p>
    <w:p w14:paraId="6B74FD17" w14:textId="77777777" w:rsidR="00464725" w:rsidRPr="00464725" w:rsidRDefault="00464725" w:rsidP="00464725">
      <w:pPr>
        <w:numPr>
          <w:ilvl w:val="0"/>
          <w:numId w:val="1"/>
        </w:numPr>
      </w:pPr>
      <w:r w:rsidRPr="00464725">
        <w:rPr>
          <w:b/>
          <w:bCs/>
        </w:rPr>
        <w:t>博弈设定</w:t>
      </w:r>
      <w:r w:rsidRPr="00464725">
        <w:t>：</w:t>
      </w:r>
    </w:p>
    <w:p w14:paraId="021E5D23" w14:textId="77777777" w:rsidR="00464725" w:rsidRPr="00464725" w:rsidRDefault="00464725" w:rsidP="00464725">
      <w:pPr>
        <w:numPr>
          <w:ilvl w:val="1"/>
          <w:numId w:val="1"/>
        </w:numPr>
      </w:pPr>
      <w:r w:rsidRPr="00464725">
        <w:t>第一阶段，政府作为领导者，选择最优补贴水平以最大化社会福利。</w:t>
      </w:r>
    </w:p>
    <w:p w14:paraId="61E7ABE7" w14:textId="77777777" w:rsidR="00464725" w:rsidRPr="00464725" w:rsidRDefault="00464725" w:rsidP="00464725">
      <w:pPr>
        <w:numPr>
          <w:ilvl w:val="1"/>
          <w:numId w:val="1"/>
        </w:numPr>
      </w:pPr>
      <w:r w:rsidRPr="00464725">
        <w:t>第二阶段，企业作为追随者，根据政府设定的补贴水平选择其营销策略（大众营销或市场细分），并决定产品质量（传统质量和环境质量）及定价。</w:t>
      </w:r>
    </w:p>
    <w:p w14:paraId="0FBAB2DC" w14:textId="77777777" w:rsidR="00464725" w:rsidRPr="00464725" w:rsidRDefault="00464725" w:rsidP="00464725">
      <w:pPr>
        <w:numPr>
          <w:ilvl w:val="0"/>
          <w:numId w:val="1"/>
        </w:numPr>
      </w:pPr>
      <w:r w:rsidRPr="00464725">
        <w:rPr>
          <w:b/>
          <w:bCs/>
        </w:rPr>
        <w:t>数学模型</w:t>
      </w:r>
      <w:r w:rsidRPr="00464725">
        <w:t>：</w:t>
      </w:r>
    </w:p>
    <w:p w14:paraId="086C68A8" w14:textId="77777777" w:rsidR="00464725" w:rsidRPr="00464725" w:rsidRDefault="00464725" w:rsidP="00464725">
      <w:pPr>
        <w:numPr>
          <w:ilvl w:val="1"/>
          <w:numId w:val="1"/>
        </w:numPr>
      </w:pPr>
      <w:r w:rsidRPr="00464725">
        <w:rPr>
          <w:b/>
          <w:bCs/>
        </w:rPr>
        <w:t>大众营销策略</w:t>
      </w:r>
      <w:r w:rsidRPr="00464725">
        <w:t>：企业为整个市场开发一个标准产品。</w:t>
      </w:r>
    </w:p>
    <w:p w14:paraId="41F7BA7D" w14:textId="77777777" w:rsidR="00464725" w:rsidRPr="00464725" w:rsidRDefault="00464725" w:rsidP="00464725">
      <w:pPr>
        <w:numPr>
          <w:ilvl w:val="1"/>
          <w:numId w:val="1"/>
        </w:numPr>
      </w:pPr>
      <w:r w:rsidRPr="00464725">
        <w:rPr>
          <w:b/>
          <w:bCs/>
        </w:rPr>
        <w:t>市场细分策略</w:t>
      </w:r>
      <w:r w:rsidRPr="00464725">
        <w:t>：企业为绿色消费者和普通消费者分别开发绿色产品和普通产品。</w:t>
      </w:r>
    </w:p>
    <w:p w14:paraId="57BA35DC" w14:textId="77777777" w:rsidR="00464725" w:rsidRPr="00464725" w:rsidRDefault="00464725" w:rsidP="00464725">
      <w:pPr>
        <w:numPr>
          <w:ilvl w:val="0"/>
          <w:numId w:val="1"/>
        </w:numPr>
      </w:pPr>
      <w:r w:rsidRPr="00464725">
        <w:rPr>
          <w:b/>
          <w:bCs/>
        </w:rPr>
        <w:t>创新性贡献</w:t>
      </w:r>
      <w:r w:rsidRPr="00464725">
        <w:t>：</w:t>
      </w:r>
    </w:p>
    <w:p w14:paraId="1DB11AB5" w14:textId="77777777" w:rsidR="00464725" w:rsidRPr="00464725" w:rsidRDefault="00464725" w:rsidP="00464725">
      <w:pPr>
        <w:numPr>
          <w:ilvl w:val="1"/>
          <w:numId w:val="1"/>
        </w:numPr>
      </w:pPr>
      <w:r w:rsidRPr="00464725">
        <w:t>结合了质量成本和政府补贴的双重影响，量化分析了补贴如何影响企业的质量选择及社会福利。</w:t>
      </w:r>
    </w:p>
    <w:p w14:paraId="585B1763" w14:textId="31901BEE" w:rsidR="00464725" w:rsidRPr="00464725" w:rsidRDefault="00464725" w:rsidP="00464725">
      <w:pPr>
        <w:numPr>
          <w:ilvl w:val="1"/>
          <w:numId w:val="1"/>
        </w:numPr>
      </w:pPr>
      <w:r w:rsidRPr="00464725">
        <w:t>提出了“</w:t>
      </w:r>
      <w:r w:rsidRPr="00464725">
        <w:rPr>
          <w:b/>
          <w:bCs/>
        </w:rPr>
        <w:t>转折点补贴（Turning Point Subsidy）</w:t>
      </w:r>
      <w:r w:rsidRPr="00464725">
        <w:t>”概念，即企业从大众营销转向市场细分的最低补贴水平。</w:t>
      </w:r>
    </w:p>
    <w:p w14:paraId="399D26E7" w14:textId="77777777" w:rsidR="00464725" w:rsidRPr="00464725" w:rsidRDefault="00464725" w:rsidP="00464725">
      <w:pPr>
        <w:rPr>
          <w:b/>
          <w:bCs/>
        </w:rPr>
      </w:pPr>
      <w:r w:rsidRPr="00464725">
        <w:rPr>
          <w:b/>
          <w:bCs/>
        </w:rPr>
        <w:t>三、研究结果与发现</w:t>
      </w:r>
    </w:p>
    <w:p w14:paraId="5CEA4202" w14:textId="77777777" w:rsidR="00464725" w:rsidRPr="00464725" w:rsidRDefault="00464725" w:rsidP="00464725">
      <w:pPr>
        <w:numPr>
          <w:ilvl w:val="0"/>
          <w:numId w:val="2"/>
        </w:numPr>
      </w:pPr>
      <w:r w:rsidRPr="00464725">
        <w:rPr>
          <w:b/>
          <w:bCs/>
        </w:rPr>
        <w:t>补贴对质量和价格的影响</w:t>
      </w:r>
      <w:r w:rsidRPr="00464725">
        <w:t>：</w:t>
      </w:r>
    </w:p>
    <w:p w14:paraId="21F33B9E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lastRenderedPageBreak/>
        <w:t>环境质量水平随补贴水平增加而提高，无论企业选择大众营销还是市场细分策略。</w:t>
      </w:r>
    </w:p>
    <w:p w14:paraId="0B42DDAA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t>产品价格会随着补贴水平的增加而提高，特别是在绿色消费者愿意为更高环境质量支付溢价时。</w:t>
      </w:r>
    </w:p>
    <w:p w14:paraId="1F3E7E41" w14:textId="77777777" w:rsidR="00464725" w:rsidRPr="00464725" w:rsidRDefault="00464725" w:rsidP="00464725">
      <w:pPr>
        <w:numPr>
          <w:ilvl w:val="0"/>
          <w:numId w:val="2"/>
        </w:numPr>
      </w:pPr>
      <w:r w:rsidRPr="00464725">
        <w:rPr>
          <w:b/>
          <w:bCs/>
        </w:rPr>
        <w:t>补贴对社会福利的影响</w:t>
      </w:r>
      <w:r w:rsidRPr="00464725">
        <w:t>：</w:t>
      </w:r>
    </w:p>
    <w:p w14:paraId="3B7E3FA2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t>社会福利包括四部分：企业利润、消费者剩余、政府支出和环境改善。</w:t>
      </w:r>
    </w:p>
    <w:p w14:paraId="755BF048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t>当绿色市场较弱（绿色消费者占比低且愿意支付有限）时，适度补贴仍能显著提高社会福利。</w:t>
      </w:r>
    </w:p>
    <w:p w14:paraId="631DF077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t>对于强绿色市场（高占比、</w:t>
      </w:r>
      <w:proofErr w:type="gramStart"/>
      <w:r w:rsidRPr="00464725">
        <w:t>高支付</w:t>
      </w:r>
      <w:proofErr w:type="gramEnd"/>
      <w:r w:rsidRPr="00464725">
        <w:t>意愿），市场细分策略能带来更高的社会福利。</w:t>
      </w:r>
    </w:p>
    <w:p w14:paraId="0E9EFE3E" w14:textId="77777777" w:rsidR="00464725" w:rsidRPr="00464725" w:rsidRDefault="00464725" w:rsidP="00464725">
      <w:pPr>
        <w:numPr>
          <w:ilvl w:val="0"/>
          <w:numId w:val="2"/>
        </w:numPr>
      </w:pPr>
      <w:r w:rsidRPr="00464725">
        <w:rPr>
          <w:b/>
          <w:bCs/>
        </w:rPr>
        <w:t>最优补贴水平</w:t>
      </w:r>
      <w:r w:rsidRPr="00464725">
        <w:t>：</w:t>
      </w:r>
    </w:p>
    <w:p w14:paraId="048C516A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rPr>
          <w:b/>
          <w:bCs/>
        </w:rPr>
        <w:t>大众营销策略</w:t>
      </w:r>
      <w:r w:rsidRPr="00464725">
        <w:t>：最优补贴水平取决于绿色消费者比例和其对环境质量的偏好。</w:t>
      </w:r>
    </w:p>
    <w:p w14:paraId="161C0E87" w14:textId="77777777" w:rsidR="00464725" w:rsidRPr="00464725" w:rsidRDefault="00464725" w:rsidP="00464725">
      <w:pPr>
        <w:numPr>
          <w:ilvl w:val="1"/>
          <w:numId w:val="2"/>
        </w:numPr>
      </w:pPr>
      <w:r w:rsidRPr="00464725">
        <w:rPr>
          <w:b/>
          <w:bCs/>
        </w:rPr>
        <w:t>市场细分策略</w:t>
      </w:r>
      <w:r w:rsidRPr="00464725">
        <w:t>：最优补贴水平与研发成本、绿色消费者占比和环境改善系数密切相关。</w:t>
      </w:r>
    </w:p>
    <w:p w14:paraId="5C66A3E5" w14:textId="3CF37A2C" w:rsidR="00464725" w:rsidRPr="00464725" w:rsidRDefault="00464725" w:rsidP="00464725">
      <w:pPr>
        <w:numPr>
          <w:ilvl w:val="1"/>
          <w:numId w:val="2"/>
        </w:numPr>
      </w:pPr>
      <w:r w:rsidRPr="00464725">
        <w:rPr>
          <w:b/>
          <w:bCs/>
        </w:rPr>
        <w:t>转折点补贴</w:t>
      </w:r>
      <w:r w:rsidRPr="00464725">
        <w:t>：当补贴水平超过转折点，企业会从大众营销转向市场细分，从而进一步优化社会福利。</w:t>
      </w:r>
    </w:p>
    <w:p w14:paraId="68AA69BF" w14:textId="77777777" w:rsidR="00464725" w:rsidRPr="00464725" w:rsidRDefault="00464725" w:rsidP="00464725">
      <w:pPr>
        <w:rPr>
          <w:b/>
          <w:bCs/>
        </w:rPr>
      </w:pPr>
      <w:r w:rsidRPr="00464725">
        <w:rPr>
          <w:b/>
          <w:bCs/>
        </w:rPr>
        <w:t>四、政策建议与产业启示</w:t>
      </w:r>
    </w:p>
    <w:p w14:paraId="6CA7B141" w14:textId="77777777" w:rsidR="00464725" w:rsidRPr="00464725" w:rsidRDefault="00464725" w:rsidP="00464725">
      <w:pPr>
        <w:numPr>
          <w:ilvl w:val="0"/>
          <w:numId w:val="3"/>
        </w:numPr>
      </w:pPr>
      <w:r w:rsidRPr="00464725">
        <w:rPr>
          <w:b/>
          <w:bCs/>
        </w:rPr>
        <w:t>政策建议</w:t>
      </w:r>
      <w:r w:rsidRPr="00464725">
        <w:t>：</w:t>
      </w:r>
    </w:p>
    <w:p w14:paraId="784807E4" w14:textId="77777777" w:rsidR="00464725" w:rsidRPr="00464725" w:rsidRDefault="00464725" w:rsidP="00464725">
      <w:pPr>
        <w:numPr>
          <w:ilvl w:val="1"/>
          <w:numId w:val="3"/>
        </w:numPr>
      </w:pPr>
      <w:r w:rsidRPr="00464725">
        <w:rPr>
          <w:b/>
          <w:bCs/>
        </w:rPr>
        <w:t>合理设计补贴水平</w:t>
      </w:r>
      <w:r w:rsidRPr="00464725">
        <w:t>：政府需根据绿色市场的规模和消费者支付意愿，制定针对性的补贴策略。</w:t>
      </w:r>
    </w:p>
    <w:p w14:paraId="7E63AAA3" w14:textId="77777777" w:rsidR="00464725" w:rsidRPr="00464725" w:rsidRDefault="00464725" w:rsidP="00464725">
      <w:pPr>
        <w:numPr>
          <w:ilvl w:val="1"/>
          <w:numId w:val="3"/>
        </w:numPr>
      </w:pPr>
      <w:r w:rsidRPr="00464725">
        <w:rPr>
          <w:b/>
          <w:bCs/>
        </w:rPr>
        <w:t>支持市场细分策略</w:t>
      </w:r>
      <w:r w:rsidRPr="00464725">
        <w:t>：在绿色市场较强的情况下，通过补贴鼓励企业开发多元化的绿色产品。</w:t>
      </w:r>
    </w:p>
    <w:p w14:paraId="5096364F" w14:textId="77777777" w:rsidR="00464725" w:rsidRPr="00464725" w:rsidRDefault="00464725" w:rsidP="00464725">
      <w:pPr>
        <w:numPr>
          <w:ilvl w:val="1"/>
          <w:numId w:val="3"/>
        </w:numPr>
      </w:pPr>
      <w:r w:rsidRPr="00464725">
        <w:rPr>
          <w:b/>
          <w:bCs/>
        </w:rPr>
        <w:t>动态调整机制</w:t>
      </w:r>
      <w:r w:rsidRPr="00464725">
        <w:t>：根据市场和技术的变化，实时调整补贴政策，以保持政策的有效性。</w:t>
      </w:r>
    </w:p>
    <w:p w14:paraId="2DAE61B9" w14:textId="77777777" w:rsidR="00464725" w:rsidRPr="00464725" w:rsidRDefault="00464725" w:rsidP="00464725">
      <w:pPr>
        <w:numPr>
          <w:ilvl w:val="0"/>
          <w:numId w:val="3"/>
        </w:numPr>
      </w:pPr>
      <w:r w:rsidRPr="00464725">
        <w:rPr>
          <w:b/>
          <w:bCs/>
        </w:rPr>
        <w:t>产业启示</w:t>
      </w:r>
      <w:r w:rsidRPr="00464725">
        <w:t>：</w:t>
      </w:r>
    </w:p>
    <w:p w14:paraId="15E7B4B3" w14:textId="77777777" w:rsidR="00464725" w:rsidRPr="00464725" w:rsidRDefault="00464725" w:rsidP="00464725">
      <w:pPr>
        <w:numPr>
          <w:ilvl w:val="1"/>
          <w:numId w:val="3"/>
        </w:numPr>
      </w:pPr>
      <w:r w:rsidRPr="00464725">
        <w:rPr>
          <w:b/>
          <w:bCs/>
        </w:rPr>
        <w:t>绿色产品价格策略</w:t>
      </w:r>
      <w:r w:rsidRPr="00464725">
        <w:t>：企业在获得补贴后，可通过提升产品质量和定价策略最大化利润。</w:t>
      </w:r>
    </w:p>
    <w:p w14:paraId="67FEC834" w14:textId="0F8B270F" w:rsidR="00464725" w:rsidRPr="00464725" w:rsidRDefault="00464725" w:rsidP="00464725">
      <w:pPr>
        <w:numPr>
          <w:ilvl w:val="1"/>
          <w:numId w:val="3"/>
        </w:numPr>
      </w:pPr>
      <w:r w:rsidRPr="00464725">
        <w:rPr>
          <w:b/>
          <w:bCs/>
        </w:rPr>
        <w:t>研发投入与市场扩展</w:t>
      </w:r>
      <w:r w:rsidRPr="00464725">
        <w:t>：企业可将政府补贴用于提升技术能力，同时探索新市场以降低单一产品开发的风险。</w:t>
      </w:r>
    </w:p>
    <w:p w14:paraId="345351D3" w14:textId="77777777" w:rsidR="00464725" w:rsidRPr="00464725" w:rsidRDefault="00464725" w:rsidP="00464725">
      <w:pPr>
        <w:rPr>
          <w:b/>
          <w:bCs/>
        </w:rPr>
      </w:pPr>
      <w:r w:rsidRPr="00464725">
        <w:rPr>
          <w:b/>
          <w:bCs/>
        </w:rPr>
        <w:lastRenderedPageBreak/>
        <w:t>五、研究局限与未来方向</w:t>
      </w:r>
    </w:p>
    <w:p w14:paraId="7B76EACF" w14:textId="77777777" w:rsidR="00464725" w:rsidRPr="00464725" w:rsidRDefault="00464725" w:rsidP="00464725">
      <w:pPr>
        <w:numPr>
          <w:ilvl w:val="0"/>
          <w:numId w:val="4"/>
        </w:numPr>
      </w:pPr>
      <w:r w:rsidRPr="00464725">
        <w:rPr>
          <w:b/>
          <w:bCs/>
        </w:rPr>
        <w:t>局限性</w:t>
      </w:r>
      <w:r w:rsidRPr="00464725">
        <w:t>：</w:t>
      </w:r>
    </w:p>
    <w:p w14:paraId="1C1AFB44" w14:textId="77777777" w:rsidR="00464725" w:rsidRPr="00464725" w:rsidRDefault="00464725" w:rsidP="00464725">
      <w:pPr>
        <w:numPr>
          <w:ilvl w:val="1"/>
          <w:numId w:val="4"/>
        </w:numPr>
      </w:pPr>
      <w:r w:rsidRPr="00464725">
        <w:t>研究仅考虑了垄断市场，未涉及竞争环境下的多企业互动。</w:t>
      </w:r>
    </w:p>
    <w:p w14:paraId="5226211D" w14:textId="77777777" w:rsidR="00464725" w:rsidRPr="00464725" w:rsidRDefault="00464725" w:rsidP="00464725">
      <w:pPr>
        <w:numPr>
          <w:ilvl w:val="1"/>
          <w:numId w:val="4"/>
        </w:numPr>
      </w:pPr>
      <w:r w:rsidRPr="00464725">
        <w:t>假设绿色市场份额固定，但实际市场份额可能因宣传和消费者意识变化而波动。</w:t>
      </w:r>
    </w:p>
    <w:p w14:paraId="1BD14555" w14:textId="77777777" w:rsidR="00464725" w:rsidRPr="00464725" w:rsidRDefault="00464725" w:rsidP="00464725">
      <w:pPr>
        <w:numPr>
          <w:ilvl w:val="1"/>
          <w:numId w:val="4"/>
        </w:numPr>
      </w:pPr>
      <w:r w:rsidRPr="00464725">
        <w:t>仅讨论了研发补贴的影响，</w:t>
      </w:r>
      <w:proofErr w:type="gramStart"/>
      <w:r w:rsidRPr="00464725">
        <w:t>未分析</w:t>
      </w:r>
      <w:proofErr w:type="gramEnd"/>
      <w:r w:rsidRPr="00464725">
        <w:t>其他形式的政策工具（如税收减免或消费者折扣）。</w:t>
      </w:r>
    </w:p>
    <w:p w14:paraId="465D81A8" w14:textId="77777777" w:rsidR="00464725" w:rsidRPr="00464725" w:rsidRDefault="00464725" w:rsidP="00464725">
      <w:pPr>
        <w:numPr>
          <w:ilvl w:val="0"/>
          <w:numId w:val="4"/>
        </w:numPr>
      </w:pPr>
      <w:r w:rsidRPr="00464725">
        <w:rPr>
          <w:b/>
          <w:bCs/>
        </w:rPr>
        <w:t>未来方向</w:t>
      </w:r>
      <w:r w:rsidRPr="00464725">
        <w:t>：</w:t>
      </w:r>
    </w:p>
    <w:p w14:paraId="0C43D137" w14:textId="77777777" w:rsidR="00464725" w:rsidRPr="00464725" w:rsidRDefault="00464725" w:rsidP="00464725">
      <w:pPr>
        <w:numPr>
          <w:ilvl w:val="1"/>
          <w:numId w:val="4"/>
        </w:numPr>
      </w:pPr>
      <w:r w:rsidRPr="00464725">
        <w:t>研究竞争市场中的补贴效果，分析企业间的竞争行为。</w:t>
      </w:r>
    </w:p>
    <w:p w14:paraId="20BDF3E3" w14:textId="77777777" w:rsidR="00464725" w:rsidRPr="00464725" w:rsidRDefault="00464725" w:rsidP="00464725">
      <w:pPr>
        <w:numPr>
          <w:ilvl w:val="1"/>
          <w:numId w:val="4"/>
        </w:numPr>
      </w:pPr>
      <w:r w:rsidRPr="00464725">
        <w:t>探讨政府与企业如何通过宣传提高绿色消费者比例。</w:t>
      </w:r>
    </w:p>
    <w:p w14:paraId="2D19E478" w14:textId="12F8F058" w:rsidR="00464725" w:rsidRPr="00464725" w:rsidRDefault="00464725" w:rsidP="00464725">
      <w:pPr>
        <w:numPr>
          <w:ilvl w:val="1"/>
          <w:numId w:val="4"/>
        </w:numPr>
      </w:pPr>
      <w:r w:rsidRPr="00464725">
        <w:t>评估不同政策组合（如补贴与碳税）的协同效应。</w:t>
      </w:r>
    </w:p>
    <w:p w14:paraId="555E95E0" w14:textId="77777777" w:rsidR="00464725" w:rsidRPr="00464725" w:rsidRDefault="00464725" w:rsidP="00464725">
      <w:pPr>
        <w:rPr>
          <w:b/>
          <w:bCs/>
        </w:rPr>
      </w:pPr>
      <w:r w:rsidRPr="00464725">
        <w:rPr>
          <w:b/>
          <w:bCs/>
        </w:rPr>
        <w:t>六、关键启发与可借鉴点</w:t>
      </w:r>
    </w:p>
    <w:p w14:paraId="28A89AC0" w14:textId="77777777" w:rsidR="00464725" w:rsidRPr="00464725" w:rsidRDefault="00464725" w:rsidP="00464725">
      <w:pPr>
        <w:numPr>
          <w:ilvl w:val="0"/>
          <w:numId w:val="5"/>
        </w:numPr>
      </w:pPr>
      <w:r w:rsidRPr="00464725">
        <w:rPr>
          <w:b/>
          <w:bCs/>
        </w:rPr>
        <w:t>关键启发</w:t>
      </w:r>
      <w:r w:rsidRPr="00464725">
        <w:t>：</w:t>
      </w:r>
    </w:p>
    <w:p w14:paraId="67459290" w14:textId="77777777" w:rsidR="00464725" w:rsidRPr="00464725" w:rsidRDefault="00464725" w:rsidP="00464725">
      <w:pPr>
        <w:numPr>
          <w:ilvl w:val="1"/>
          <w:numId w:val="5"/>
        </w:numPr>
      </w:pPr>
      <w:r w:rsidRPr="00464725">
        <w:rPr>
          <w:b/>
          <w:bCs/>
        </w:rPr>
        <w:t>定量分析工具</w:t>
      </w:r>
      <w:r w:rsidRPr="00464725">
        <w:t>：Stackelberg博弈模型为政策制定和企业决策提供了量化分析方法。</w:t>
      </w:r>
    </w:p>
    <w:p w14:paraId="73147DD8" w14:textId="77777777" w:rsidR="00464725" w:rsidRPr="00464725" w:rsidRDefault="00464725" w:rsidP="00464725">
      <w:pPr>
        <w:numPr>
          <w:ilvl w:val="1"/>
          <w:numId w:val="5"/>
        </w:numPr>
      </w:pPr>
      <w:r w:rsidRPr="00464725">
        <w:rPr>
          <w:b/>
          <w:bCs/>
        </w:rPr>
        <w:t>市场细分策略优先性</w:t>
      </w:r>
      <w:r w:rsidRPr="00464725">
        <w:t>：对于成熟的绿色市场，市场细分策略更有利于企业利润和社会福利的提升。</w:t>
      </w:r>
    </w:p>
    <w:p w14:paraId="742CB802" w14:textId="77777777" w:rsidR="00464725" w:rsidRPr="00464725" w:rsidRDefault="00464725" w:rsidP="00464725">
      <w:pPr>
        <w:numPr>
          <w:ilvl w:val="1"/>
          <w:numId w:val="5"/>
        </w:numPr>
      </w:pPr>
      <w:r w:rsidRPr="00464725">
        <w:rPr>
          <w:b/>
          <w:bCs/>
        </w:rPr>
        <w:t>补贴效用最大化</w:t>
      </w:r>
      <w:r w:rsidRPr="00464725">
        <w:t>：通过设置转折点补贴，政府可在提高社会福利的同时控制财政支出。</w:t>
      </w:r>
    </w:p>
    <w:p w14:paraId="729C1E55" w14:textId="77777777" w:rsidR="00464725" w:rsidRPr="00464725" w:rsidRDefault="00464725" w:rsidP="00464725">
      <w:pPr>
        <w:numPr>
          <w:ilvl w:val="0"/>
          <w:numId w:val="5"/>
        </w:numPr>
      </w:pPr>
      <w:r w:rsidRPr="00464725">
        <w:rPr>
          <w:b/>
          <w:bCs/>
        </w:rPr>
        <w:t>可借鉴点</w:t>
      </w:r>
      <w:r w:rsidRPr="00464725">
        <w:t>：</w:t>
      </w:r>
    </w:p>
    <w:p w14:paraId="6A449B96" w14:textId="77777777" w:rsidR="00464725" w:rsidRPr="00464725" w:rsidRDefault="00464725" w:rsidP="00464725">
      <w:pPr>
        <w:numPr>
          <w:ilvl w:val="1"/>
          <w:numId w:val="5"/>
        </w:numPr>
      </w:pPr>
      <w:r w:rsidRPr="00464725">
        <w:t>企业可根据绿色市场规模调整营销策略，将绿色产品定位为高溢价产品。</w:t>
      </w:r>
    </w:p>
    <w:p w14:paraId="4B90B9C3" w14:textId="25FE0BBA" w:rsidR="00EF3F61" w:rsidRDefault="00464725" w:rsidP="006E1614">
      <w:pPr>
        <w:numPr>
          <w:ilvl w:val="1"/>
          <w:numId w:val="5"/>
        </w:numPr>
        <w:rPr>
          <w:rFonts w:hint="eastAsia"/>
        </w:rPr>
      </w:pPr>
      <w:r w:rsidRPr="00464725">
        <w:t>政府可通过补贴引导市场发展，同时确保补贴水平合理，避免对企业决策的过度干预。</w:t>
      </w:r>
    </w:p>
    <w:sectPr w:rsidR="00EF3F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232E4" w14:textId="77777777" w:rsidR="00F515D4" w:rsidRDefault="00F515D4" w:rsidP="00571A08">
      <w:pPr>
        <w:spacing w:after="0" w:line="240" w:lineRule="auto"/>
      </w:pPr>
      <w:r>
        <w:separator/>
      </w:r>
    </w:p>
  </w:endnote>
  <w:endnote w:type="continuationSeparator" w:id="0">
    <w:p w14:paraId="3C0A67FF" w14:textId="77777777" w:rsidR="00F515D4" w:rsidRDefault="00F515D4" w:rsidP="0057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28277" w14:textId="77777777" w:rsidR="00F515D4" w:rsidRDefault="00F515D4" w:rsidP="00571A08">
      <w:pPr>
        <w:spacing w:after="0" w:line="240" w:lineRule="auto"/>
      </w:pPr>
      <w:r>
        <w:separator/>
      </w:r>
    </w:p>
  </w:footnote>
  <w:footnote w:type="continuationSeparator" w:id="0">
    <w:p w14:paraId="6E85549B" w14:textId="77777777" w:rsidR="00F515D4" w:rsidRDefault="00F515D4" w:rsidP="00571A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4928"/>
    <w:multiLevelType w:val="multilevel"/>
    <w:tmpl w:val="9BF0C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C3515E"/>
    <w:multiLevelType w:val="multilevel"/>
    <w:tmpl w:val="93324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9682E13"/>
    <w:multiLevelType w:val="multilevel"/>
    <w:tmpl w:val="7AE87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1147D63"/>
    <w:multiLevelType w:val="multilevel"/>
    <w:tmpl w:val="345C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479276E"/>
    <w:multiLevelType w:val="multilevel"/>
    <w:tmpl w:val="CE565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26847336">
    <w:abstractNumId w:val="2"/>
  </w:num>
  <w:num w:numId="2" w16cid:durableId="1302416394">
    <w:abstractNumId w:val="1"/>
  </w:num>
  <w:num w:numId="3" w16cid:durableId="721711051">
    <w:abstractNumId w:val="3"/>
  </w:num>
  <w:num w:numId="4" w16cid:durableId="457381264">
    <w:abstractNumId w:val="0"/>
  </w:num>
  <w:num w:numId="5" w16cid:durableId="9736353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65"/>
    <w:rsid w:val="00336B65"/>
    <w:rsid w:val="00464725"/>
    <w:rsid w:val="00571A08"/>
    <w:rsid w:val="006D3B15"/>
    <w:rsid w:val="006E1614"/>
    <w:rsid w:val="00926842"/>
    <w:rsid w:val="00B20EA1"/>
    <w:rsid w:val="00E267C8"/>
    <w:rsid w:val="00EF3F61"/>
    <w:rsid w:val="00F515D4"/>
    <w:rsid w:val="00FB3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6DD94D"/>
  <w15:chartTrackingRefBased/>
  <w15:docId w15:val="{E6B95595-01A1-4617-A08D-AA039A4AF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1A08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71A0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71A08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71A08"/>
    <w:rPr>
      <w:sz w:val="18"/>
      <w:szCs w:val="18"/>
    </w:rPr>
  </w:style>
  <w:style w:type="paragraph" w:styleId="a7">
    <w:name w:val="Title"/>
    <w:basedOn w:val="a"/>
    <w:next w:val="a"/>
    <w:link w:val="a8"/>
    <w:uiPriority w:val="10"/>
    <w:qFormat/>
    <w:rsid w:val="006D3B15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8">
    <w:name w:val="标题 字符"/>
    <w:basedOn w:val="a0"/>
    <w:link w:val="a7"/>
    <w:uiPriority w:val="10"/>
    <w:rsid w:val="006D3B15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2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99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43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52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517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037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56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90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298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67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3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8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5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7652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9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42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236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Yongze Hu</dc:creator>
  <cp:keywords/>
  <dc:description/>
  <cp:lastModifiedBy>Yongze Hu</cp:lastModifiedBy>
  <cp:revision>5</cp:revision>
  <dcterms:created xsi:type="dcterms:W3CDTF">2024-12-22T11:49:00Z</dcterms:created>
  <dcterms:modified xsi:type="dcterms:W3CDTF">2024-12-26T11:07:00Z</dcterms:modified>
</cp:coreProperties>
</file>