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BF662" w14:textId="2754FE82" w:rsidR="001551D5" w:rsidRDefault="001551D5" w:rsidP="001551D5">
      <w:pPr>
        <w:widowControl/>
        <w:shd w:val="clear" w:color="auto" w:fill="FFFFFF"/>
        <w:spacing w:line="480" w:lineRule="atLeast"/>
        <w:jc w:val="center"/>
        <w:outlineLvl w:val="0"/>
        <w:rPr>
          <w:rFonts w:ascii="Helvetica" w:eastAsia="宋体" w:hAnsi="Helvetica" w:cs="Helvetica"/>
          <w:color w:val="060607"/>
          <w:spacing w:val="8"/>
          <w:kern w:val="36"/>
          <w:sz w:val="24"/>
          <w:szCs w:val="24"/>
          <w14:ligatures w14:val="none"/>
        </w:rPr>
      </w:pPr>
      <w:r>
        <w:rPr>
          <w:rFonts w:ascii="Helvetica" w:eastAsia="宋体" w:hAnsi="Helvetica" w:cs="Helvetica" w:hint="eastAsia"/>
          <w:color w:val="060607"/>
          <w:spacing w:val="8"/>
          <w:kern w:val="36"/>
          <w:sz w:val="24"/>
          <w:szCs w:val="24"/>
          <w14:ligatures w14:val="none"/>
        </w:rPr>
        <w:t>读书笔记</w:t>
      </w:r>
      <w:r>
        <w:rPr>
          <w:rFonts w:ascii="Helvetica" w:eastAsia="宋体" w:hAnsi="Helvetica" w:cs="Helvetica" w:hint="eastAsia"/>
          <w:color w:val="060607"/>
          <w:spacing w:val="8"/>
          <w:kern w:val="36"/>
          <w:sz w:val="24"/>
          <w:szCs w:val="24"/>
          <w14:ligatures w14:val="none"/>
        </w:rPr>
        <w:t>1</w:t>
      </w:r>
    </w:p>
    <w:p w14:paraId="2F261145" w14:textId="11D12C33" w:rsidR="001551D5" w:rsidRPr="001551D5" w:rsidRDefault="001551D5" w:rsidP="001551D5">
      <w:pPr>
        <w:widowControl/>
        <w:shd w:val="clear" w:color="auto" w:fill="FFFFFF"/>
        <w:spacing w:afterLines="100" w:after="312" w:line="480" w:lineRule="atLeast"/>
        <w:jc w:val="center"/>
        <w:outlineLvl w:val="0"/>
        <w:rPr>
          <w:rFonts w:ascii="Helvetica" w:eastAsia="宋体" w:hAnsi="Helvetica" w:cs="Helvetica" w:hint="eastAsia"/>
          <w:b/>
          <w:bCs/>
          <w:color w:val="060607"/>
          <w:spacing w:val="8"/>
          <w:kern w:val="36"/>
          <w:sz w:val="24"/>
          <w:szCs w:val="24"/>
          <w14:ligatures w14:val="none"/>
        </w:rPr>
      </w:pPr>
      <w:r w:rsidRPr="001551D5">
        <w:rPr>
          <w:rFonts w:ascii="Helvetica" w:eastAsia="宋体" w:hAnsi="Helvetica" w:cs="Helvetica"/>
          <w:b/>
          <w:bCs/>
          <w:color w:val="060607"/>
          <w:spacing w:val="8"/>
          <w:kern w:val="36"/>
          <w:sz w:val="24"/>
          <w:szCs w:val="24"/>
          <w14:ligatures w14:val="none"/>
        </w:rPr>
        <w:t>供应链金融对中小企业</w:t>
      </w:r>
      <w:r w:rsidRPr="001551D5">
        <w:rPr>
          <w:rFonts w:ascii="Helvetica" w:eastAsia="宋体" w:hAnsi="Helvetica" w:cs="Helvetica"/>
          <w:b/>
          <w:bCs/>
          <w:color w:val="060607"/>
          <w:spacing w:val="8"/>
          <w:kern w:val="36"/>
          <w:sz w:val="24"/>
          <w:szCs w:val="24"/>
          <w14:ligatures w14:val="none"/>
        </w:rPr>
        <w:t>R&amp;D</w:t>
      </w:r>
      <w:r w:rsidRPr="001551D5">
        <w:rPr>
          <w:rFonts w:ascii="Helvetica" w:eastAsia="宋体" w:hAnsi="Helvetica" w:cs="Helvetica"/>
          <w:b/>
          <w:bCs/>
          <w:color w:val="060607"/>
          <w:spacing w:val="8"/>
          <w:kern w:val="36"/>
          <w:sz w:val="24"/>
          <w:szCs w:val="24"/>
          <w14:ligatures w14:val="none"/>
        </w:rPr>
        <w:t>投资效率的影响：基于融资约束视角</w:t>
      </w:r>
    </w:p>
    <w:p w14:paraId="27286E9A" w14:textId="77777777" w:rsidR="001551D5" w:rsidRPr="001551D5" w:rsidRDefault="001551D5" w:rsidP="001551D5">
      <w:pPr>
        <w:spacing w:line="360" w:lineRule="auto"/>
        <w:ind w:firstLineChars="200" w:firstLine="420"/>
        <w:rPr>
          <w:rFonts w:ascii="宋体" w:eastAsia="宋体" w:hAnsi="宋体"/>
        </w:rPr>
      </w:pPr>
      <w:r w:rsidRPr="001551D5">
        <w:rPr>
          <w:rFonts w:ascii="宋体" w:eastAsia="宋体" w:hAnsi="宋体"/>
        </w:rPr>
        <w:t>本文旨在探讨供应链金融对中小企业研发（R&amp;D）投资效率的影响，并从融资约束的角度进行分析。研究基于2016-2022年创业板中小企业的数据，运用三阶段DEA分析、面板Tobit模型回归、二元Logistic回归等方法，得出供应链金融能显著提高中小企业R&amp;D投资效率，且融资约束在其间起到遮掩效应。</w:t>
      </w:r>
    </w:p>
    <w:p w14:paraId="73D96487" w14:textId="7623509B"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研究背景与意义</w:t>
      </w:r>
      <w:r>
        <w:rPr>
          <w:rFonts w:ascii="宋体" w:eastAsia="宋体" w:hAnsi="宋体" w:hint="eastAsia"/>
        </w:rPr>
        <w:t>：</w:t>
      </w:r>
      <w:r w:rsidRPr="001551D5">
        <w:rPr>
          <w:rFonts w:ascii="宋体" w:eastAsia="宋体" w:hAnsi="宋体"/>
        </w:rPr>
        <w:t>中小企业在创新活动中面临资金与机制的双重短板。供应链金融的发展为中小企业提供了新的融资渠道和合作模式，有助于缓解融资约束，促进创新活动。本研究的意义在于为供应链金融在中小企业创新活动中的应用提供理论支持，并为政策制定者提供实践指导。</w:t>
      </w:r>
    </w:p>
    <w:p w14:paraId="25AADDAE" w14:textId="120068E3"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研究方法</w:t>
      </w:r>
      <w:r>
        <w:rPr>
          <w:rFonts w:ascii="宋体" w:eastAsia="宋体" w:hAnsi="宋体" w:hint="eastAsia"/>
        </w:rPr>
        <w:t>：（1）</w:t>
      </w:r>
      <w:r w:rsidRPr="001551D5">
        <w:rPr>
          <w:rFonts w:ascii="宋体" w:eastAsia="宋体" w:hAnsi="宋体"/>
        </w:rPr>
        <w:t>三阶段DEA分析：用于测度企业的R&amp;D投资效率，包括资源配置效率、技术效率和规模效率。</w:t>
      </w:r>
      <w:r>
        <w:rPr>
          <w:rFonts w:ascii="宋体" w:eastAsia="宋体" w:hAnsi="宋体" w:hint="eastAsia"/>
        </w:rPr>
        <w:t>（2）</w:t>
      </w:r>
      <w:r w:rsidRPr="001551D5">
        <w:rPr>
          <w:rFonts w:ascii="宋体" w:eastAsia="宋体" w:hAnsi="宋体"/>
        </w:rPr>
        <w:t>面板Tobit模型：用于验证供应链金融对R&amp;D投资效率的直接影响。</w:t>
      </w:r>
      <w:r>
        <w:rPr>
          <w:rFonts w:ascii="宋体" w:eastAsia="宋体" w:hAnsi="宋体" w:hint="eastAsia"/>
        </w:rPr>
        <w:t>（3）</w:t>
      </w:r>
      <w:r w:rsidRPr="001551D5">
        <w:rPr>
          <w:rFonts w:ascii="宋体" w:eastAsia="宋体" w:hAnsi="宋体"/>
        </w:rPr>
        <w:t>二元Logistic回归：用于构建融资约束指数，揭示融资约束在供应链金融与R&amp;D投资效率间的中介作用。</w:t>
      </w:r>
    </w:p>
    <w:p w14:paraId="5BF46263" w14:textId="56937FEB"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研究结果</w:t>
      </w:r>
      <w:r>
        <w:rPr>
          <w:rFonts w:ascii="宋体" w:eastAsia="宋体" w:hAnsi="宋体" w:hint="eastAsia"/>
        </w:rPr>
        <w:t>：（1）</w:t>
      </w:r>
      <w:r w:rsidRPr="001551D5">
        <w:rPr>
          <w:rFonts w:ascii="宋体" w:eastAsia="宋体" w:hAnsi="宋体"/>
        </w:rPr>
        <w:t>研究发现供应链金融能显著提升中小企业的R&amp;D投资效率，表明供应链金融能有效促进企业创新活动。</w:t>
      </w:r>
      <w:r>
        <w:rPr>
          <w:rFonts w:ascii="宋体" w:eastAsia="宋体" w:hAnsi="宋体" w:hint="eastAsia"/>
        </w:rPr>
        <w:t>（2）</w:t>
      </w:r>
      <w:r w:rsidRPr="001551D5">
        <w:rPr>
          <w:rFonts w:ascii="宋体" w:eastAsia="宋体" w:hAnsi="宋体"/>
        </w:rPr>
        <w:t>融资约束在供应链金融与R&amp;D投资效率之间起到遮掩作用，即在控制融资约束后，供应链金融对R&amp;D投资效率的正面影响更加显著。</w:t>
      </w:r>
      <w:r>
        <w:rPr>
          <w:rFonts w:ascii="宋体" w:eastAsia="宋体" w:hAnsi="宋体" w:hint="eastAsia"/>
        </w:rPr>
        <w:t>（3）</w:t>
      </w:r>
      <w:r w:rsidRPr="001551D5">
        <w:rPr>
          <w:rFonts w:ascii="宋体" w:eastAsia="宋体" w:hAnsi="宋体"/>
        </w:rPr>
        <w:t>供应链集中度较高的企业中，供应链金融对R&amp;D投资效率的促进作用更为显著，说明供应链集中度是中小企业纵向协同创新效应的重要表征。</w:t>
      </w:r>
    </w:p>
    <w:p w14:paraId="4BD3EF2B" w14:textId="08122FD8"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理论贡献</w:t>
      </w:r>
      <w:r>
        <w:rPr>
          <w:rFonts w:ascii="宋体" w:eastAsia="宋体" w:hAnsi="宋体" w:hint="eastAsia"/>
        </w:rPr>
        <w:t>：（1）</w:t>
      </w:r>
      <w:r w:rsidRPr="001551D5">
        <w:rPr>
          <w:rFonts w:ascii="宋体" w:eastAsia="宋体" w:hAnsi="宋体"/>
        </w:rPr>
        <w:t>通过三阶段DEA方法，提供了一种全面评估中小企业创新绩效的新视角。</w:t>
      </w:r>
      <w:r>
        <w:rPr>
          <w:rFonts w:ascii="宋体" w:eastAsia="宋体" w:hAnsi="宋体" w:hint="eastAsia"/>
        </w:rPr>
        <w:t>（2</w:t>
      </w:r>
      <w:r>
        <w:rPr>
          <w:rFonts w:ascii="宋体" w:eastAsia="宋体" w:hAnsi="宋体"/>
        </w:rPr>
        <w:t>）</w:t>
      </w:r>
      <w:r w:rsidRPr="001551D5">
        <w:rPr>
          <w:rFonts w:ascii="宋体" w:eastAsia="宋体" w:hAnsi="宋体"/>
        </w:rPr>
        <w:t>揭示了供应链金融与R&amp;D投资效率之间的直接关系，并验证了融资约束的中介作用，为后续研究提供了基础。</w:t>
      </w:r>
    </w:p>
    <w:p w14:paraId="2BD6FA3F" w14:textId="746E12B8"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政策建议</w:t>
      </w:r>
      <w:r>
        <w:rPr>
          <w:rFonts w:ascii="宋体" w:eastAsia="宋体" w:hAnsi="宋体" w:hint="eastAsia"/>
        </w:rPr>
        <w:t>：（1）对</w:t>
      </w:r>
      <w:r w:rsidRPr="001551D5">
        <w:rPr>
          <w:rFonts w:ascii="宋体" w:eastAsia="宋体" w:hAnsi="宋体"/>
        </w:rPr>
        <w:t>中小企业：加快数字化转型，积极嵌入供应链金融业务，与上下游企业共建战略合作联盟，提高协同创新能力。</w:t>
      </w:r>
      <w:r>
        <w:rPr>
          <w:rFonts w:ascii="宋体" w:eastAsia="宋体" w:hAnsi="宋体" w:hint="eastAsia"/>
        </w:rPr>
        <w:t>（2）对</w:t>
      </w:r>
      <w:r w:rsidRPr="001551D5">
        <w:rPr>
          <w:rFonts w:ascii="宋体" w:eastAsia="宋体" w:hAnsi="宋体"/>
        </w:rPr>
        <w:t>金融机构：发展供应链金融业务，提高融资服务精准度，构建供应链金融生态圈。</w:t>
      </w:r>
      <w:r>
        <w:rPr>
          <w:rFonts w:ascii="宋体" w:eastAsia="宋体" w:hAnsi="宋体" w:hint="eastAsia"/>
        </w:rPr>
        <w:t>（3）对</w:t>
      </w:r>
      <w:r w:rsidRPr="001551D5">
        <w:rPr>
          <w:rFonts w:ascii="宋体" w:eastAsia="宋体" w:hAnsi="宋体"/>
        </w:rPr>
        <w:t>政府部门：加大对中小企业创新活动的支持，设立专项基金，规范供应链金融业务。</w:t>
      </w:r>
    </w:p>
    <w:p w14:paraId="69C7DB2C" w14:textId="36ABCA5E" w:rsidR="001551D5" w:rsidRPr="001551D5" w:rsidRDefault="001551D5" w:rsidP="001551D5">
      <w:pPr>
        <w:spacing w:line="360" w:lineRule="auto"/>
        <w:ind w:firstLineChars="200" w:firstLine="420"/>
        <w:rPr>
          <w:rFonts w:ascii="宋体" w:eastAsia="宋体" w:hAnsi="宋体"/>
        </w:rPr>
      </w:pPr>
      <w:r>
        <w:rPr>
          <w:rFonts w:ascii="宋体" w:eastAsia="宋体" w:hAnsi="宋体" w:hint="eastAsia"/>
        </w:rPr>
        <w:t>本文的</w:t>
      </w:r>
      <w:r w:rsidRPr="001551D5">
        <w:rPr>
          <w:rFonts w:ascii="宋体" w:eastAsia="宋体" w:hAnsi="宋体"/>
        </w:rPr>
        <w:t>研究局限与展望</w:t>
      </w:r>
      <w:r>
        <w:rPr>
          <w:rFonts w:ascii="宋体" w:eastAsia="宋体" w:hAnsi="宋体" w:hint="eastAsia"/>
        </w:rPr>
        <w:t>：</w:t>
      </w:r>
      <w:r w:rsidRPr="001551D5">
        <w:rPr>
          <w:rFonts w:ascii="宋体" w:eastAsia="宋体" w:hAnsi="宋体"/>
        </w:rPr>
        <w:t>本文的研究局限在于样本选择的局限性、传导路径分析的局限性以及供应链金融测度方式的局限性。未来研究可以通过扩充样本、深入探究其他中介变量以及采用更多元的供应链金融测度方式来提升研究的普适性和准确性。</w:t>
      </w:r>
    </w:p>
    <w:p w14:paraId="07FDD660" w14:textId="307E0FDD" w:rsidR="001551D5" w:rsidRDefault="001551D5" w:rsidP="001551D5">
      <w:pPr>
        <w:spacing w:line="360" w:lineRule="auto"/>
        <w:ind w:firstLineChars="200" w:firstLine="420"/>
        <w:rPr>
          <w:rFonts w:ascii="宋体" w:eastAsia="宋体" w:hAnsi="宋体" w:hint="eastAsia"/>
        </w:rPr>
      </w:pPr>
      <w:r w:rsidRPr="001551D5">
        <w:rPr>
          <w:rFonts w:ascii="宋体" w:eastAsia="宋体" w:hAnsi="宋体"/>
        </w:rPr>
        <w:lastRenderedPageBreak/>
        <w:t>本文通过实证分析，为供应链金融在中小企业创新活动中的应用提供了有力的理论支持，并为相关政策制定提供了实践指导。研究结果表明，供应链金融不仅能显著提升中小企业的R&amp;D投资效率，还能通过缓解融资约束，进一步激发企业的创新活力。随着供应链金融的不断发展，其在中小企业创新活动中的作用将愈发显著，对于推动中小企业高质量发展具有重要意义。</w:t>
      </w:r>
    </w:p>
    <w:p w14:paraId="6F336A5F" w14:textId="77777777" w:rsidR="001551D5" w:rsidRDefault="001551D5">
      <w:pPr>
        <w:widowControl/>
        <w:jc w:val="left"/>
        <w:rPr>
          <w:rFonts w:ascii="宋体" w:eastAsia="宋体" w:hAnsi="宋体" w:hint="eastAsia"/>
        </w:rPr>
      </w:pPr>
      <w:r>
        <w:rPr>
          <w:rFonts w:ascii="宋体" w:eastAsia="宋体" w:hAnsi="宋体" w:hint="eastAsia"/>
        </w:rPr>
        <w:br w:type="page"/>
      </w:r>
    </w:p>
    <w:p w14:paraId="64F67381" w14:textId="7D81372B" w:rsidR="008A5947" w:rsidRPr="008A5947" w:rsidRDefault="008A5947" w:rsidP="008A5947">
      <w:pPr>
        <w:widowControl/>
        <w:shd w:val="clear" w:color="auto" w:fill="FFFFFF"/>
        <w:spacing w:line="480" w:lineRule="atLeast"/>
        <w:jc w:val="center"/>
        <w:outlineLvl w:val="0"/>
        <w:rPr>
          <w:rFonts w:ascii="Helvetica" w:eastAsia="宋体" w:hAnsi="Helvetica" w:cs="Helvetica"/>
          <w:color w:val="060607"/>
          <w:spacing w:val="8"/>
          <w:kern w:val="36"/>
          <w:sz w:val="24"/>
          <w:szCs w:val="24"/>
          <w14:ligatures w14:val="none"/>
        </w:rPr>
      </w:pPr>
      <w:r w:rsidRPr="008A5947">
        <w:rPr>
          <w:rFonts w:ascii="Helvetica" w:eastAsia="宋体" w:hAnsi="Helvetica" w:cs="Helvetica" w:hint="eastAsia"/>
          <w:color w:val="060607"/>
          <w:spacing w:val="8"/>
          <w:kern w:val="36"/>
          <w:sz w:val="24"/>
          <w:szCs w:val="24"/>
          <w14:ligatures w14:val="none"/>
        </w:rPr>
        <w:lastRenderedPageBreak/>
        <w:t>读书笔记</w:t>
      </w:r>
      <w:r w:rsidRPr="008A5947">
        <w:rPr>
          <w:rFonts w:ascii="Helvetica" w:eastAsia="宋体" w:hAnsi="Helvetica" w:cs="Helvetica" w:hint="eastAsia"/>
          <w:color w:val="060607"/>
          <w:spacing w:val="8"/>
          <w:kern w:val="36"/>
          <w:sz w:val="24"/>
          <w:szCs w:val="24"/>
          <w14:ligatures w14:val="none"/>
        </w:rPr>
        <w:t>2</w:t>
      </w:r>
    </w:p>
    <w:p w14:paraId="558638CA" w14:textId="33526DD4" w:rsidR="008A5947" w:rsidRPr="008A5947" w:rsidRDefault="008A5947" w:rsidP="008A5947">
      <w:pPr>
        <w:widowControl/>
        <w:shd w:val="clear" w:color="auto" w:fill="FFFFFF"/>
        <w:spacing w:afterLines="100" w:after="312" w:line="480" w:lineRule="atLeast"/>
        <w:jc w:val="center"/>
        <w:outlineLvl w:val="0"/>
        <w:rPr>
          <w:rFonts w:ascii="Helvetica" w:eastAsia="宋体" w:hAnsi="Helvetica" w:cs="Helvetica" w:hint="eastAsia"/>
          <w:b/>
          <w:bCs/>
          <w:color w:val="060607"/>
          <w:spacing w:val="8"/>
          <w:kern w:val="36"/>
          <w:sz w:val="24"/>
          <w:szCs w:val="24"/>
          <w14:ligatures w14:val="none"/>
        </w:rPr>
      </w:pPr>
      <w:r w:rsidRPr="008A5947">
        <w:rPr>
          <w:rFonts w:ascii="Helvetica" w:eastAsia="宋体" w:hAnsi="Helvetica" w:cs="Helvetica"/>
          <w:b/>
          <w:bCs/>
          <w:color w:val="060607"/>
          <w:spacing w:val="8"/>
          <w:kern w:val="36"/>
          <w:sz w:val="24"/>
          <w:szCs w:val="24"/>
          <w14:ligatures w14:val="none"/>
        </w:rPr>
        <w:t>供应链关联与中小企业融资</w:t>
      </w:r>
      <w:r w:rsidRPr="008A5947">
        <w:rPr>
          <w:rFonts w:ascii="Helvetica" w:eastAsia="宋体" w:hAnsi="Helvetica" w:cs="Helvetica"/>
          <w:b/>
          <w:bCs/>
          <w:color w:val="060607"/>
          <w:spacing w:val="8"/>
          <w:kern w:val="36"/>
          <w:sz w:val="24"/>
          <w:szCs w:val="24"/>
          <w14:ligatures w14:val="none"/>
        </w:rPr>
        <w:t>——</w:t>
      </w:r>
      <w:r w:rsidRPr="008A5947">
        <w:rPr>
          <w:rFonts w:ascii="Helvetica" w:eastAsia="宋体" w:hAnsi="Helvetica" w:cs="Helvetica"/>
          <w:b/>
          <w:bCs/>
          <w:color w:val="060607"/>
          <w:spacing w:val="8"/>
          <w:kern w:val="36"/>
          <w:sz w:val="24"/>
          <w:szCs w:val="24"/>
          <w14:ligatures w14:val="none"/>
        </w:rPr>
        <w:t>基于供应链金融与商业信用视角</w:t>
      </w:r>
    </w:p>
    <w:p w14:paraId="6694F18F" w14:textId="41F3EA2A" w:rsidR="008A5947" w:rsidRPr="008A5947" w:rsidRDefault="008A5947" w:rsidP="008A5947">
      <w:pPr>
        <w:spacing w:line="360" w:lineRule="auto"/>
        <w:ind w:firstLineChars="200" w:firstLine="420"/>
        <w:rPr>
          <w:rFonts w:ascii="宋体" w:eastAsia="宋体" w:hAnsi="宋体" w:hint="eastAsia"/>
        </w:rPr>
      </w:pPr>
      <w:r w:rsidRPr="008A5947">
        <w:rPr>
          <w:rFonts w:ascii="宋体" w:eastAsia="宋体" w:hAnsi="宋体" w:hint="eastAsia"/>
        </w:rPr>
        <w:t>本文探讨了供应链关联如何通过增信效应和供应链金融改善中小企业融资问题。研究发现，供应链关联能显著提高中小企业的融资能力，尤其是信用融资和应收账款保理及票据贴现融资。然而，中小企业通过应收账款融资获得的部分资金会被上市公司通过商业信用的方式吸收。此外，中小企业的市场力量越强，其资金结构和总量将得到优化。</w:t>
      </w:r>
    </w:p>
    <w:p w14:paraId="7C606EE9" w14:textId="116166ED"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t>本文的</w:t>
      </w:r>
      <w:r w:rsidRPr="008A5947">
        <w:rPr>
          <w:rFonts w:ascii="宋体" w:eastAsia="宋体" w:hAnsi="宋体" w:hint="eastAsia"/>
        </w:rPr>
        <w:t>研究背景</w:t>
      </w:r>
      <w:r>
        <w:rPr>
          <w:rFonts w:ascii="宋体" w:eastAsia="宋体" w:hAnsi="宋体" w:hint="eastAsia"/>
        </w:rPr>
        <w:t>：</w:t>
      </w:r>
      <w:r w:rsidRPr="008A5947">
        <w:rPr>
          <w:rFonts w:ascii="宋体" w:eastAsia="宋体" w:hAnsi="宋体" w:hint="eastAsia"/>
        </w:rPr>
        <w:t>中小企业在产业链供应链中扮演着重要角色，但其融资难问题一直是制约其发展的关键因素。供应链金融作为一种新兴的融资模式，为解决中小企业融资问题提供了新思路。本文通过分析供应链关联与中小企业融资的关系，旨在为供应链金融的实践应用提供理论支持和政策建议。</w:t>
      </w:r>
    </w:p>
    <w:p w14:paraId="565341D3" w14:textId="30B59F50"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t>本文的</w:t>
      </w:r>
      <w:r w:rsidRPr="008A5947">
        <w:rPr>
          <w:rFonts w:ascii="宋体" w:eastAsia="宋体" w:hAnsi="宋体" w:hint="eastAsia"/>
        </w:rPr>
        <w:t>研究方法</w:t>
      </w:r>
      <w:r>
        <w:rPr>
          <w:rFonts w:ascii="宋体" w:eastAsia="宋体" w:hAnsi="宋体" w:hint="eastAsia"/>
        </w:rPr>
        <w:t>：</w:t>
      </w:r>
      <w:r w:rsidRPr="008A5947">
        <w:rPr>
          <w:rFonts w:ascii="宋体" w:eastAsia="宋体" w:hAnsi="宋体" w:hint="eastAsia"/>
        </w:rPr>
        <w:t>研究使用了2006—2013年中国工业企业数据和2008—2019年新三板挂牌企业的详细贷款数据。通过改进的企业名称匹配方法，获取了中小企业与上市公司之间的供应链关联关系，并采用多期双重差分模型(Staggered DID)研究供应链关联对中小企业融资的影响。</w:t>
      </w:r>
    </w:p>
    <w:p w14:paraId="7F7C3B0F" w14:textId="69ACEF0A"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t>本文的研究结果：（1）</w:t>
      </w:r>
      <w:r w:rsidRPr="008A5947">
        <w:rPr>
          <w:rFonts w:ascii="宋体" w:eastAsia="宋体" w:hAnsi="宋体" w:hint="eastAsia"/>
        </w:rPr>
        <w:t>供应链关联与中小企业融资增加</w:t>
      </w:r>
      <w:r>
        <w:rPr>
          <w:rFonts w:ascii="宋体" w:eastAsia="宋体" w:hAnsi="宋体" w:hint="eastAsia"/>
        </w:rPr>
        <w:t>，</w:t>
      </w:r>
      <w:r w:rsidRPr="008A5947">
        <w:rPr>
          <w:rFonts w:ascii="宋体" w:eastAsia="宋体" w:hAnsi="宋体" w:hint="eastAsia"/>
        </w:rPr>
        <w:t>成为上市公司主要供应商或客户的中小企业，其融资能力显著提高，尤其是信用融资和应收账款保理及票据贴现融资方面。</w:t>
      </w:r>
      <w:r>
        <w:rPr>
          <w:rFonts w:ascii="宋体" w:eastAsia="宋体" w:hAnsi="宋体" w:hint="eastAsia"/>
        </w:rPr>
        <w:t>（2）</w:t>
      </w:r>
      <w:r w:rsidRPr="008A5947">
        <w:rPr>
          <w:rFonts w:ascii="宋体" w:eastAsia="宋体" w:hAnsi="宋体" w:hint="eastAsia"/>
        </w:rPr>
        <w:t>供应链金融的双重作用</w:t>
      </w:r>
      <w:r>
        <w:rPr>
          <w:rFonts w:ascii="宋体" w:eastAsia="宋体" w:hAnsi="宋体" w:hint="eastAsia"/>
        </w:rPr>
        <w:t>，</w:t>
      </w:r>
      <w:r w:rsidRPr="008A5947">
        <w:rPr>
          <w:rFonts w:ascii="宋体" w:eastAsia="宋体" w:hAnsi="宋体" w:hint="eastAsia"/>
        </w:rPr>
        <w:t>供应链金融在提高中小企业融资能力的同时，也导致了部分资金流向上市公司，以商业信用的形式被吸收。</w:t>
      </w:r>
      <w:r>
        <w:rPr>
          <w:rFonts w:ascii="宋体" w:eastAsia="宋体" w:hAnsi="宋体" w:hint="eastAsia"/>
        </w:rPr>
        <w:t>（3）</w:t>
      </w:r>
      <w:r w:rsidRPr="008A5947">
        <w:rPr>
          <w:rFonts w:ascii="宋体" w:eastAsia="宋体" w:hAnsi="宋体" w:hint="eastAsia"/>
        </w:rPr>
        <w:t>市场力量与资金流向</w:t>
      </w:r>
      <w:r>
        <w:rPr>
          <w:rFonts w:ascii="宋体" w:eastAsia="宋体" w:hAnsi="宋体" w:hint="eastAsia"/>
        </w:rPr>
        <w:t>，</w:t>
      </w:r>
      <w:r w:rsidRPr="008A5947">
        <w:rPr>
          <w:rFonts w:ascii="宋体" w:eastAsia="宋体" w:hAnsi="宋体" w:hint="eastAsia"/>
        </w:rPr>
        <w:t>中小企业的市场力量越强，上市公司越倾向于减少对中小企业的商业信用要求，同时中小企业获得的银行贷款能力增强，资金压力得到缓解。</w:t>
      </w:r>
    </w:p>
    <w:p w14:paraId="6FB643FB" w14:textId="0A2B303D"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t>本文的</w:t>
      </w:r>
      <w:r w:rsidRPr="008A5947">
        <w:rPr>
          <w:rFonts w:ascii="宋体" w:eastAsia="宋体" w:hAnsi="宋体" w:hint="eastAsia"/>
        </w:rPr>
        <w:t>理论贡献</w:t>
      </w:r>
      <w:r>
        <w:rPr>
          <w:rFonts w:ascii="宋体" w:eastAsia="宋体" w:hAnsi="宋体" w:hint="eastAsia"/>
        </w:rPr>
        <w:t>：</w:t>
      </w:r>
      <w:r w:rsidRPr="008A5947">
        <w:rPr>
          <w:rFonts w:ascii="宋体" w:eastAsia="宋体" w:hAnsi="宋体" w:hint="eastAsia"/>
        </w:rPr>
        <w:t>本文从供应链关联的视角出发，探讨了中小企业融资问题，丰富了供应链金融与商业信用的相关研究。研究不仅揭示了供应链金融对中小企业融资的直接影响，还分析了商业信用在供应链资金流向中的作用，为理解供应链金融的复杂性提供了新的视角。</w:t>
      </w:r>
    </w:p>
    <w:p w14:paraId="1FC34D0C" w14:textId="18C52E10"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t>本文的</w:t>
      </w:r>
      <w:r w:rsidRPr="008A5947">
        <w:rPr>
          <w:rFonts w:ascii="宋体" w:eastAsia="宋体" w:hAnsi="宋体" w:hint="eastAsia"/>
        </w:rPr>
        <w:t>政策建议</w:t>
      </w:r>
      <w:r>
        <w:rPr>
          <w:rFonts w:ascii="宋体" w:eastAsia="宋体" w:hAnsi="宋体" w:hint="eastAsia"/>
        </w:rPr>
        <w:t>：（1）</w:t>
      </w:r>
      <w:r w:rsidRPr="008A5947">
        <w:rPr>
          <w:rFonts w:ascii="宋体" w:eastAsia="宋体" w:hAnsi="宋体" w:hint="eastAsia"/>
        </w:rPr>
        <w:t>提高应收账款融资效率：通过提高核心上市公司的增信作用，促进银行为供应链票据提供更便利的融资服务。</w:t>
      </w:r>
      <w:r>
        <w:rPr>
          <w:rFonts w:ascii="宋体" w:eastAsia="宋体" w:hAnsi="宋体" w:hint="eastAsia"/>
        </w:rPr>
        <w:t>（2）</w:t>
      </w:r>
      <w:r w:rsidRPr="008A5947">
        <w:rPr>
          <w:rFonts w:ascii="宋体" w:eastAsia="宋体" w:hAnsi="宋体" w:hint="eastAsia"/>
        </w:rPr>
        <w:t>挖掘预收账款融资潜力：利用金融科技发展，如区块链和物联网技术，解决质押品监管难题，推动预收账款融资的发展。</w:t>
      </w:r>
      <w:r>
        <w:rPr>
          <w:rFonts w:ascii="宋体" w:eastAsia="宋体" w:hAnsi="宋体" w:hint="eastAsia"/>
        </w:rPr>
        <w:t>（3）</w:t>
      </w:r>
      <w:r w:rsidRPr="008A5947">
        <w:rPr>
          <w:rFonts w:ascii="宋体" w:eastAsia="宋体" w:hAnsi="宋体" w:hint="eastAsia"/>
        </w:rPr>
        <w:t>严格监管核心企业：加强对核心企业利用供应链金融侵占中小企业利益行为的监管，引导供应链金融健康发展。</w:t>
      </w:r>
    </w:p>
    <w:p w14:paraId="284FC571" w14:textId="45F3D8C2" w:rsidR="008A5947" w:rsidRPr="008A5947" w:rsidRDefault="008A5947" w:rsidP="008A5947">
      <w:pPr>
        <w:spacing w:line="360" w:lineRule="auto"/>
        <w:ind w:firstLineChars="200" w:firstLine="420"/>
        <w:rPr>
          <w:rFonts w:ascii="宋体" w:eastAsia="宋体" w:hAnsi="宋体" w:hint="eastAsia"/>
        </w:rPr>
      </w:pPr>
      <w:r>
        <w:rPr>
          <w:rFonts w:ascii="宋体" w:eastAsia="宋体" w:hAnsi="宋体" w:hint="eastAsia"/>
        </w:rPr>
        <w:lastRenderedPageBreak/>
        <w:t>本文的</w:t>
      </w:r>
      <w:r w:rsidRPr="008A5947">
        <w:rPr>
          <w:rFonts w:ascii="宋体" w:eastAsia="宋体" w:hAnsi="宋体" w:hint="eastAsia"/>
        </w:rPr>
        <w:t>研究局限与展望</w:t>
      </w:r>
      <w:r>
        <w:rPr>
          <w:rFonts w:ascii="宋体" w:eastAsia="宋体" w:hAnsi="宋体" w:hint="eastAsia"/>
        </w:rPr>
        <w:t>：</w:t>
      </w:r>
      <w:r w:rsidRPr="008A5947">
        <w:rPr>
          <w:rFonts w:ascii="宋体" w:eastAsia="宋体" w:hAnsi="宋体" w:hint="eastAsia"/>
        </w:rPr>
        <w:t>本文的研究局限在于样本选择的局限性和数据的时效性。未来的研究可以通过扩大样本范围、更新数据，进一步验证供应链金融对中小企业融资的影响。此外，随着金融科技的发展，预收账款融资模式的潜力值得深入探讨。</w:t>
      </w:r>
    </w:p>
    <w:p w14:paraId="477A0E29" w14:textId="2F93017C" w:rsidR="008A5947" w:rsidRDefault="008A5947" w:rsidP="008A5947">
      <w:pPr>
        <w:spacing w:line="360" w:lineRule="auto"/>
        <w:ind w:firstLineChars="200" w:firstLine="420"/>
        <w:rPr>
          <w:rFonts w:ascii="宋体" w:eastAsia="宋体" w:hAnsi="宋体" w:hint="eastAsia"/>
        </w:rPr>
      </w:pPr>
      <w:r w:rsidRPr="008A5947">
        <w:rPr>
          <w:rFonts w:ascii="宋体" w:eastAsia="宋体" w:hAnsi="宋体" w:hint="eastAsia"/>
        </w:rPr>
        <w:t>本文通过实证分析，为供应链金融在中小企业融资中的应用提供了有力的证据。研究结果表明，供应链金融能够有效提高中小企业的融资能力，但也存在资金流向上市公司的问题。因此，政策制定者和企业应重视供应链金融的双重作用，合理利用供应链金融工具，促进中小企业的健康发展。同时，加强对核心企业的监管，保护中小企业的权益，是推动供应链金融健康发展的关键。</w:t>
      </w:r>
    </w:p>
    <w:p w14:paraId="35ACAD17" w14:textId="77777777" w:rsidR="008A5947" w:rsidRDefault="008A5947">
      <w:pPr>
        <w:widowControl/>
        <w:jc w:val="left"/>
        <w:rPr>
          <w:rFonts w:ascii="宋体" w:eastAsia="宋体" w:hAnsi="宋体" w:hint="eastAsia"/>
        </w:rPr>
      </w:pPr>
      <w:r>
        <w:rPr>
          <w:rFonts w:ascii="宋体" w:eastAsia="宋体" w:hAnsi="宋体" w:hint="eastAsia"/>
        </w:rPr>
        <w:br w:type="page"/>
      </w:r>
    </w:p>
    <w:p w14:paraId="1981B056" w14:textId="57D6BAB7" w:rsidR="008A5947" w:rsidRDefault="008A5947" w:rsidP="008A5947">
      <w:pPr>
        <w:spacing w:line="360" w:lineRule="auto"/>
        <w:jc w:val="center"/>
        <w:rPr>
          <w:rFonts w:ascii="宋体" w:eastAsia="宋体" w:hAnsi="宋体"/>
          <w:sz w:val="24"/>
          <w:szCs w:val="24"/>
        </w:rPr>
      </w:pPr>
      <w:r>
        <w:rPr>
          <w:rFonts w:ascii="宋体" w:eastAsia="宋体" w:hAnsi="宋体" w:hint="eastAsia"/>
          <w:sz w:val="24"/>
          <w:szCs w:val="24"/>
        </w:rPr>
        <w:lastRenderedPageBreak/>
        <w:t>读书笔记3</w:t>
      </w:r>
    </w:p>
    <w:p w14:paraId="7C413F75" w14:textId="3AEF3C09" w:rsidR="008A5947" w:rsidRPr="008A5947" w:rsidRDefault="008A5947" w:rsidP="007E5B5B">
      <w:pPr>
        <w:spacing w:afterLines="100" w:after="312" w:line="360" w:lineRule="auto"/>
        <w:jc w:val="center"/>
        <w:rPr>
          <w:rFonts w:ascii="宋体" w:eastAsia="宋体" w:hAnsi="宋体" w:hint="eastAsia"/>
          <w:b/>
          <w:bCs/>
          <w:sz w:val="24"/>
          <w:szCs w:val="24"/>
        </w:rPr>
      </w:pPr>
      <w:r w:rsidRPr="008A5947">
        <w:rPr>
          <w:rFonts w:ascii="宋体" w:eastAsia="宋体" w:hAnsi="宋体"/>
          <w:b/>
          <w:bCs/>
          <w:sz w:val="24"/>
          <w:szCs w:val="24"/>
        </w:rPr>
        <w:t>中小企业数字化转型融资赋能机制的演化博弈——基于供应链金融视角</w:t>
      </w:r>
    </w:p>
    <w:p w14:paraId="2FAE745E" w14:textId="77777777" w:rsidR="008A5947" w:rsidRPr="008A5947" w:rsidRDefault="008A5947" w:rsidP="008A5947">
      <w:pPr>
        <w:spacing w:line="360" w:lineRule="auto"/>
        <w:ind w:firstLineChars="200" w:firstLine="420"/>
        <w:rPr>
          <w:rFonts w:ascii="宋体" w:eastAsia="宋体" w:hAnsi="宋体"/>
        </w:rPr>
      </w:pPr>
      <w:r w:rsidRPr="008A5947">
        <w:rPr>
          <w:rFonts w:ascii="宋体" w:eastAsia="宋体" w:hAnsi="宋体"/>
        </w:rPr>
        <w:t>本文探讨了如何通过供应链金融视角，设计一种融合数字化服务平台和政府补贴的中小企业数字化转型融资赋能机制。通过演化博弈模型分析机制的有效性，并利用数值仿真研究不同因素对机制效果的影响。</w:t>
      </w:r>
    </w:p>
    <w:p w14:paraId="36417A10" w14:textId="79031696" w:rsidR="008A5947" w:rsidRPr="008A5947" w:rsidRDefault="008A5947" w:rsidP="008A5947">
      <w:pPr>
        <w:spacing w:line="360" w:lineRule="auto"/>
        <w:ind w:firstLineChars="200" w:firstLine="420"/>
        <w:rPr>
          <w:rFonts w:ascii="宋体" w:eastAsia="宋体" w:hAnsi="宋体"/>
        </w:rPr>
      </w:pPr>
      <w:r>
        <w:rPr>
          <w:rFonts w:ascii="宋体" w:eastAsia="宋体" w:hAnsi="宋体" w:hint="eastAsia"/>
        </w:rPr>
        <w:t>本文的</w:t>
      </w:r>
      <w:r w:rsidRPr="008A5947">
        <w:rPr>
          <w:rFonts w:ascii="宋体" w:eastAsia="宋体" w:hAnsi="宋体"/>
        </w:rPr>
        <w:t>研究背景</w:t>
      </w:r>
      <w:r>
        <w:rPr>
          <w:rFonts w:ascii="宋体" w:eastAsia="宋体" w:hAnsi="宋体" w:hint="eastAsia"/>
        </w:rPr>
        <w:t>：</w:t>
      </w:r>
      <w:r w:rsidRPr="008A5947">
        <w:rPr>
          <w:rFonts w:ascii="宋体" w:eastAsia="宋体" w:hAnsi="宋体"/>
        </w:rPr>
        <w:t>随着数字技术的发展，中小企业（SMEs）面临数字化转型的挑战。数字化转型需要大量资金支持，而中小企业长期面临融资难题。本文旨在探索一种能够改善中小企业融资困境、加速数字化转型的机制。</w:t>
      </w:r>
    </w:p>
    <w:p w14:paraId="27B83F22" w14:textId="77777777" w:rsidR="008A5947" w:rsidRDefault="008A5947" w:rsidP="008A5947">
      <w:pPr>
        <w:spacing w:line="360" w:lineRule="auto"/>
        <w:ind w:firstLineChars="200" w:firstLine="420"/>
        <w:rPr>
          <w:rFonts w:ascii="宋体" w:eastAsia="宋体" w:hAnsi="宋体"/>
        </w:rPr>
      </w:pPr>
      <w:r>
        <w:rPr>
          <w:rFonts w:ascii="宋体" w:eastAsia="宋体" w:hAnsi="宋体" w:hint="eastAsia"/>
        </w:rPr>
        <w:t>本文的</w:t>
      </w:r>
      <w:r w:rsidRPr="008A5947">
        <w:rPr>
          <w:rFonts w:ascii="宋体" w:eastAsia="宋体" w:hAnsi="宋体"/>
        </w:rPr>
        <w:t>研究内容</w:t>
      </w:r>
      <w:r>
        <w:rPr>
          <w:rFonts w:ascii="宋体" w:eastAsia="宋体" w:hAnsi="宋体" w:hint="eastAsia"/>
        </w:rPr>
        <w:t>：</w:t>
      </w:r>
      <w:r w:rsidRPr="008A5947">
        <w:rPr>
          <w:rFonts w:ascii="宋体" w:eastAsia="宋体" w:hAnsi="宋体"/>
        </w:rPr>
        <w:t>文章设计了一种基于供应链金融的中小企业数字化转型融资赋能机制，该机制结合了数字化服务平台和政府补贴。核心企业为中小企业提供数字化服务支持和信贷担保支持，而政府在供应链金融业务达成时提供补贴。</w:t>
      </w:r>
    </w:p>
    <w:p w14:paraId="7C3889B0" w14:textId="6C2F3148" w:rsidR="008A5947" w:rsidRPr="008A5947" w:rsidRDefault="008A5947" w:rsidP="008A5947">
      <w:pPr>
        <w:spacing w:line="360" w:lineRule="auto"/>
        <w:ind w:firstLineChars="200" w:firstLine="420"/>
        <w:rPr>
          <w:rFonts w:ascii="宋体" w:eastAsia="宋体" w:hAnsi="宋体"/>
        </w:rPr>
      </w:pPr>
      <w:r>
        <w:rPr>
          <w:rFonts w:ascii="宋体" w:eastAsia="宋体" w:hAnsi="宋体" w:hint="eastAsia"/>
        </w:rPr>
        <w:t>本文的研究方法：</w:t>
      </w:r>
      <w:r w:rsidRPr="008A5947">
        <w:rPr>
          <w:rFonts w:ascii="宋体" w:eastAsia="宋体" w:hAnsi="宋体"/>
        </w:rPr>
        <w:t>文章构建了一个三方演化博弈模型，包括核心企业、中小企业和金融机构。模型分析了不同参数变化对博弈系统稳定性的影响，并通过数值仿真进一步探讨了初始积极策略比例、政府补贴和参与成本等因素对机制效果的影响。</w:t>
      </w:r>
    </w:p>
    <w:p w14:paraId="3A81E6DD" w14:textId="4DF0D00C" w:rsidR="008A5947" w:rsidRPr="008A5947" w:rsidRDefault="008A5947" w:rsidP="008A5947">
      <w:pPr>
        <w:spacing w:line="360" w:lineRule="auto"/>
        <w:ind w:firstLineChars="200" w:firstLine="420"/>
        <w:rPr>
          <w:rFonts w:ascii="宋体" w:eastAsia="宋体" w:hAnsi="宋体"/>
        </w:rPr>
      </w:pPr>
      <w:r>
        <w:rPr>
          <w:rFonts w:ascii="宋体" w:eastAsia="宋体" w:hAnsi="宋体" w:hint="eastAsia"/>
        </w:rPr>
        <w:t>本文的研究结果：（1）</w:t>
      </w:r>
      <w:r w:rsidRPr="008A5947">
        <w:rPr>
          <w:rFonts w:ascii="宋体" w:eastAsia="宋体" w:hAnsi="宋体"/>
        </w:rPr>
        <w:t>中小企业、核心企业、金融机构选择积极策略的初始比例越高，博弈系统收敛到帕累托最优状态的概率越高。</w:t>
      </w:r>
      <w:r>
        <w:rPr>
          <w:rFonts w:ascii="宋体" w:eastAsia="宋体" w:hAnsi="宋体" w:hint="eastAsia"/>
        </w:rPr>
        <w:t>（2）</w:t>
      </w:r>
      <w:r w:rsidRPr="008A5947">
        <w:rPr>
          <w:rFonts w:ascii="宋体" w:eastAsia="宋体" w:hAnsi="宋体"/>
        </w:rPr>
        <w:t>政府补贴有助于中小企业数字化转型融资赋能机制的顺利发挥作用，但在博弈主体初始积极策略比例较低时，补贴的边际效用较弱。</w:t>
      </w:r>
      <w:r>
        <w:rPr>
          <w:rFonts w:ascii="宋体" w:eastAsia="宋体" w:hAnsi="宋体" w:hint="eastAsia"/>
        </w:rPr>
        <w:t>（3—）</w:t>
      </w:r>
      <w:r w:rsidRPr="008A5947">
        <w:rPr>
          <w:rFonts w:ascii="宋体" w:eastAsia="宋体" w:hAnsi="宋体"/>
        </w:rPr>
        <w:t>降低博弈主体的参与成本是促进博弈系统向帕累托最优状态演化的重要途径。</w:t>
      </w:r>
    </w:p>
    <w:p w14:paraId="540456F1" w14:textId="24C17BEF" w:rsidR="008A5947" w:rsidRPr="008A5947" w:rsidRDefault="008A5947" w:rsidP="008A5947">
      <w:pPr>
        <w:spacing w:line="360" w:lineRule="auto"/>
        <w:ind w:firstLineChars="200" w:firstLine="420"/>
        <w:rPr>
          <w:rFonts w:ascii="宋体" w:eastAsia="宋体" w:hAnsi="宋体"/>
        </w:rPr>
      </w:pPr>
      <w:r>
        <w:rPr>
          <w:rFonts w:ascii="宋体" w:eastAsia="宋体" w:hAnsi="宋体" w:hint="eastAsia"/>
        </w:rPr>
        <w:t>本文的</w:t>
      </w:r>
      <w:r w:rsidRPr="008A5947">
        <w:rPr>
          <w:rFonts w:ascii="宋体" w:eastAsia="宋体" w:hAnsi="宋体"/>
        </w:rPr>
        <w:t>政策启示</w:t>
      </w:r>
      <w:r>
        <w:rPr>
          <w:rFonts w:ascii="宋体" w:eastAsia="宋体" w:hAnsi="宋体" w:hint="eastAsia"/>
        </w:rPr>
        <w:t>：（1）</w:t>
      </w:r>
      <w:r w:rsidRPr="008A5947">
        <w:rPr>
          <w:rFonts w:ascii="宋体" w:eastAsia="宋体" w:hAnsi="宋体"/>
        </w:rPr>
        <w:t>提高参与积极性：政府应提供良好的政策环境，以提高各方主体的参与积极性。</w:t>
      </w:r>
      <w:r>
        <w:rPr>
          <w:rFonts w:ascii="宋体" w:eastAsia="宋体" w:hAnsi="宋体" w:hint="eastAsia"/>
        </w:rPr>
        <w:t>（2）</w:t>
      </w:r>
      <w:r w:rsidRPr="008A5947">
        <w:rPr>
          <w:rFonts w:ascii="宋体" w:eastAsia="宋体" w:hAnsi="宋体"/>
        </w:rPr>
        <w:t>合理制定补贴额度：政府应针对不同主体提供风险补偿、贷款贴息和业务奖励等政策，并合理制定补贴额度。</w:t>
      </w:r>
      <w:r>
        <w:rPr>
          <w:rFonts w:ascii="宋体" w:eastAsia="宋体" w:hAnsi="宋体" w:hint="eastAsia"/>
        </w:rPr>
        <w:t>（3）</w:t>
      </w:r>
      <w:r w:rsidRPr="008A5947">
        <w:rPr>
          <w:rFonts w:ascii="宋体" w:eastAsia="宋体" w:hAnsi="宋体"/>
        </w:rPr>
        <w:t>降低参与成本：降低核心企业、中小企业和金融机构的参与成本，以促进博弈系统收敛到帕累托最优状态。</w:t>
      </w:r>
    </w:p>
    <w:p w14:paraId="4202FDA4" w14:textId="77777777" w:rsidR="008A5947" w:rsidRPr="008A5947" w:rsidRDefault="008A5947" w:rsidP="00386035">
      <w:pPr>
        <w:spacing w:line="360" w:lineRule="auto"/>
        <w:ind w:firstLineChars="200" w:firstLine="420"/>
        <w:rPr>
          <w:rFonts w:ascii="宋体" w:eastAsia="宋体" w:hAnsi="宋体"/>
        </w:rPr>
      </w:pPr>
      <w:r w:rsidRPr="008A5947">
        <w:rPr>
          <w:rFonts w:ascii="宋体" w:eastAsia="宋体" w:hAnsi="宋体"/>
        </w:rPr>
        <w:t>文章得出的主要结论强调了初始积极策略比例、政府补贴和参与成本在中小企业数字化转型融资赋能机制中的重要性。这些因素共同影响着博弈系统是否能够收敛到帕累托最优状态。</w:t>
      </w:r>
    </w:p>
    <w:p w14:paraId="502827FD" w14:textId="2291F261" w:rsidR="00386035" w:rsidRDefault="008A5947" w:rsidP="00386035">
      <w:pPr>
        <w:spacing w:line="360" w:lineRule="auto"/>
        <w:ind w:firstLineChars="200" w:firstLine="420"/>
        <w:rPr>
          <w:rFonts w:ascii="宋体" w:eastAsia="宋体" w:hAnsi="宋体" w:hint="eastAsia"/>
        </w:rPr>
      </w:pPr>
      <w:r w:rsidRPr="008A5947">
        <w:rPr>
          <w:rFonts w:ascii="宋体" w:eastAsia="宋体" w:hAnsi="宋体"/>
        </w:rPr>
        <w:t>本文的研究为中小企业数字化转型提供了新的视角，特别是在融资支持方面。文章提出的机制设计和演化博弈模型为理解和预测中小企业在数字化转型过程中的行为提供了理论基础。政策启示部分为政府和企业如何协同工作提供了指导，特别是在提供补贴和降低成本方面。然而，文章也存在一些局限性，例如模型的参数设置可能需要根据实际情况进行调整，</w:t>
      </w:r>
      <w:r w:rsidRPr="008A5947">
        <w:rPr>
          <w:rFonts w:ascii="宋体" w:eastAsia="宋体" w:hAnsi="宋体"/>
        </w:rPr>
        <w:lastRenderedPageBreak/>
        <w:t>以提高模型的适用性和准确性。此外，文章并未深入探讨数字化转型对中小企业长期竞争力的影响，这是未来研究可以进一步探讨的方向。</w:t>
      </w:r>
    </w:p>
    <w:p w14:paraId="540C2FA1" w14:textId="77777777" w:rsidR="00386035" w:rsidRDefault="00386035">
      <w:pPr>
        <w:widowControl/>
        <w:jc w:val="left"/>
        <w:rPr>
          <w:rFonts w:ascii="宋体" w:eastAsia="宋体" w:hAnsi="宋体" w:hint="eastAsia"/>
        </w:rPr>
      </w:pPr>
      <w:r>
        <w:rPr>
          <w:rFonts w:ascii="宋体" w:eastAsia="宋体" w:hAnsi="宋体" w:hint="eastAsia"/>
        </w:rPr>
        <w:br w:type="page"/>
      </w:r>
    </w:p>
    <w:p w14:paraId="32792FD0" w14:textId="373EE3C9" w:rsidR="007E5B5B" w:rsidRPr="007E5B5B" w:rsidRDefault="007E5B5B" w:rsidP="007E5B5B">
      <w:pPr>
        <w:spacing w:line="360" w:lineRule="auto"/>
        <w:jc w:val="center"/>
        <w:rPr>
          <w:rFonts w:ascii="宋体" w:eastAsia="宋体" w:hAnsi="宋体" w:hint="eastAsia"/>
          <w:sz w:val="24"/>
          <w:szCs w:val="24"/>
        </w:rPr>
      </w:pPr>
      <w:r w:rsidRPr="007E5B5B">
        <w:rPr>
          <w:rFonts w:ascii="宋体" w:eastAsia="宋体" w:hAnsi="宋体" w:hint="eastAsia"/>
          <w:sz w:val="24"/>
          <w:szCs w:val="24"/>
        </w:rPr>
        <w:lastRenderedPageBreak/>
        <w:t>读书笔记4</w:t>
      </w:r>
    </w:p>
    <w:p w14:paraId="3A85F7E6" w14:textId="22838B65" w:rsidR="007E5B5B" w:rsidRDefault="007E5B5B" w:rsidP="007E5B5B">
      <w:pPr>
        <w:spacing w:afterLines="100" w:after="312" w:line="360" w:lineRule="auto"/>
        <w:jc w:val="center"/>
        <w:rPr>
          <w:rFonts w:ascii="宋体" w:eastAsia="宋体" w:hAnsi="宋体"/>
          <w:b/>
          <w:bCs/>
          <w:sz w:val="24"/>
          <w:szCs w:val="24"/>
        </w:rPr>
      </w:pPr>
      <w:r w:rsidRPr="007E5B5B">
        <w:rPr>
          <w:rFonts w:ascii="宋体" w:eastAsia="宋体" w:hAnsi="宋体"/>
          <w:b/>
          <w:bCs/>
          <w:sz w:val="24"/>
          <w:szCs w:val="24"/>
        </w:rPr>
        <w:t>小农户与现代农业衔接的机制和关键因素研究</w:t>
      </w:r>
    </w:p>
    <w:p w14:paraId="2BC087E0" w14:textId="2B876607" w:rsidR="007E5B5B" w:rsidRPr="007E5B5B" w:rsidRDefault="007E5B5B" w:rsidP="007E5B5B">
      <w:pPr>
        <w:spacing w:afterLines="100" w:after="312" w:line="360" w:lineRule="auto"/>
        <w:jc w:val="center"/>
        <w:rPr>
          <w:rFonts w:ascii="宋体" w:eastAsia="宋体" w:hAnsi="宋体" w:hint="eastAsia"/>
          <w:b/>
          <w:bCs/>
          <w:sz w:val="24"/>
          <w:szCs w:val="24"/>
        </w:rPr>
      </w:pPr>
      <w:r w:rsidRPr="007E5B5B">
        <w:rPr>
          <w:rFonts w:ascii="宋体" w:eastAsia="宋体" w:hAnsi="宋体"/>
          <w:b/>
          <w:bCs/>
          <w:sz w:val="24"/>
          <w:szCs w:val="24"/>
        </w:rPr>
        <w:t>——基于合作社和供应链金融的视角</w:t>
      </w:r>
    </w:p>
    <w:p w14:paraId="1429771E" w14:textId="77777777" w:rsidR="007E5B5B" w:rsidRPr="007E5B5B" w:rsidRDefault="007E5B5B" w:rsidP="007E5B5B">
      <w:pPr>
        <w:spacing w:line="360" w:lineRule="auto"/>
        <w:ind w:firstLineChars="200" w:firstLine="420"/>
        <w:rPr>
          <w:rFonts w:ascii="宋体" w:eastAsia="宋体" w:hAnsi="宋体"/>
        </w:rPr>
      </w:pPr>
      <w:r w:rsidRPr="007E5B5B">
        <w:rPr>
          <w:rFonts w:ascii="宋体" w:eastAsia="宋体" w:hAnsi="宋体"/>
        </w:rPr>
        <w:t>本文探讨了如何通过合作社和供应链金融促进小农户与现代农业的有机衔接。研究发现，随着农村金融发展，小农户的农业生产率和现代要素投入显著提升，但正规信贷并未普遍扩张，而是与合作社发展水平正相关。文章认为农村供应链金融模式能够实现金融发展红利沿产业链间接传导和外溢，促进小农户的现代化转型。</w:t>
      </w:r>
    </w:p>
    <w:p w14:paraId="37FEEFBF" w14:textId="716E6E12"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w:t>
      </w:r>
      <w:r w:rsidRPr="007E5B5B">
        <w:rPr>
          <w:rFonts w:ascii="宋体" w:eastAsia="宋体" w:hAnsi="宋体"/>
        </w:rPr>
        <w:t>研究背景</w:t>
      </w:r>
      <w:r>
        <w:rPr>
          <w:rFonts w:ascii="宋体" w:eastAsia="宋体" w:hAnsi="宋体" w:hint="eastAsia"/>
        </w:rPr>
        <w:t>：</w:t>
      </w:r>
      <w:r w:rsidRPr="007E5B5B">
        <w:rPr>
          <w:rFonts w:ascii="宋体" w:eastAsia="宋体" w:hAnsi="宋体"/>
        </w:rPr>
        <w:t>小农户作为中国农业经营主体的绝大多数，其与现代农业的衔接是实现农业现代化的关键。然而，小农户面临融资难、融资贵的问题，限制了其现代化进程。本文旨在探讨农村供应链金融在解决这一问题中的潜在作用。</w:t>
      </w:r>
    </w:p>
    <w:p w14:paraId="2FBBECCD" w14:textId="6081575A"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w:t>
      </w:r>
      <w:r w:rsidRPr="007E5B5B">
        <w:rPr>
          <w:rFonts w:ascii="宋体" w:eastAsia="宋体" w:hAnsi="宋体"/>
        </w:rPr>
        <w:t>研究内容</w:t>
      </w:r>
      <w:r>
        <w:rPr>
          <w:rFonts w:ascii="宋体" w:eastAsia="宋体" w:hAnsi="宋体" w:hint="eastAsia"/>
        </w:rPr>
        <w:t>：</w:t>
      </w:r>
      <w:r w:rsidRPr="007E5B5B">
        <w:rPr>
          <w:rFonts w:ascii="宋体" w:eastAsia="宋体" w:hAnsi="宋体"/>
        </w:rPr>
        <w:t>文章首先分析了小农户数字化转型面临的挑战，然后探讨了数字化平台如何赋能小农户的数字化转型。接着，文章讨论了供应链金融和政府补贴如何帮助小农户解决融资问题，并提出了一个基于数字化服务平台的供应链金融模式。</w:t>
      </w:r>
    </w:p>
    <w:p w14:paraId="3C0DF3FF" w14:textId="5160A6C9"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w:t>
      </w:r>
      <w:r w:rsidRPr="007E5B5B">
        <w:rPr>
          <w:rFonts w:ascii="宋体" w:eastAsia="宋体" w:hAnsi="宋体"/>
        </w:rPr>
        <w:t>研究方法</w:t>
      </w:r>
      <w:r>
        <w:rPr>
          <w:rFonts w:ascii="宋体" w:eastAsia="宋体" w:hAnsi="宋体" w:hint="eastAsia"/>
        </w:rPr>
        <w:t>：</w:t>
      </w:r>
      <w:r w:rsidRPr="007E5B5B">
        <w:rPr>
          <w:rFonts w:ascii="宋体" w:eastAsia="宋体" w:hAnsi="宋体"/>
        </w:rPr>
        <w:t>研究采用了全国工商登记注册信息、农村固定观察点调查和新型农业主体专项抽样调查等多个来源的微观数据。通过回归分析，文章检验了农村金融发展对小农户农业生产率的影响，并探讨了合作社在其中的作用。</w:t>
      </w:r>
    </w:p>
    <w:p w14:paraId="5C821DD9" w14:textId="6B680979"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本文的研究结果：（1）</w:t>
      </w:r>
      <w:r w:rsidRPr="007E5B5B">
        <w:rPr>
          <w:rFonts w:ascii="宋体" w:eastAsia="宋体" w:hAnsi="宋体"/>
        </w:rPr>
        <w:t>农村金融发展显著提升了小农户的农业生产率和现代要素投入。</w:t>
      </w:r>
      <w:r>
        <w:rPr>
          <w:rFonts w:ascii="宋体" w:eastAsia="宋体" w:hAnsi="宋体" w:hint="eastAsia"/>
        </w:rPr>
        <w:t>（2）</w:t>
      </w:r>
      <w:r w:rsidRPr="007E5B5B">
        <w:rPr>
          <w:rFonts w:ascii="宋体" w:eastAsia="宋体" w:hAnsi="宋体"/>
        </w:rPr>
        <w:t>正规信贷并未随银行网点扩张而普遍增长，而是与合作社发展水平正相关。</w:t>
      </w:r>
      <w:r>
        <w:rPr>
          <w:rFonts w:ascii="宋体" w:eastAsia="宋体" w:hAnsi="宋体" w:hint="eastAsia"/>
        </w:rPr>
        <w:t>（3）</w:t>
      </w:r>
      <w:r w:rsidRPr="007E5B5B">
        <w:rPr>
          <w:rFonts w:ascii="宋体" w:eastAsia="宋体" w:hAnsi="宋体"/>
        </w:rPr>
        <w:t>农村供应链金融模式能够促进金融资源沿产业链流动，帮助小农户获得更多金融服务。</w:t>
      </w:r>
    </w:p>
    <w:p w14:paraId="45485774" w14:textId="2EE693BD"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w:t>
      </w:r>
      <w:r w:rsidRPr="007E5B5B">
        <w:rPr>
          <w:rFonts w:ascii="宋体" w:eastAsia="宋体" w:hAnsi="宋体"/>
        </w:rPr>
        <w:t>政策启示</w:t>
      </w:r>
      <w:r>
        <w:rPr>
          <w:rFonts w:ascii="宋体" w:eastAsia="宋体" w:hAnsi="宋体" w:hint="eastAsia"/>
        </w:rPr>
        <w:t>：（1</w:t>
      </w:r>
      <w:r>
        <w:rPr>
          <w:rFonts w:ascii="宋体" w:eastAsia="宋体" w:hAnsi="宋体"/>
        </w:rPr>
        <w:t>）</w:t>
      </w:r>
      <w:r w:rsidRPr="007E5B5B">
        <w:rPr>
          <w:rFonts w:ascii="宋体" w:eastAsia="宋体" w:hAnsi="宋体"/>
        </w:rPr>
        <w:t>持续推动农村金融改革，提高农村金融供给水平。</w:t>
      </w:r>
      <w:r>
        <w:rPr>
          <w:rFonts w:ascii="宋体" w:eastAsia="宋体" w:hAnsi="宋体" w:hint="eastAsia"/>
        </w:rPr>
        <w:t>（2）</w:t>
      </w:r>
      <w:r w:rsidRPr="007E5B5B">
        <w:rPr>
          <w:rFonts w:ascii="宋体" w:eastAsia="宋体" w:hAnsi="宋体"/>
        </w:rPr>
        <w:t>重视合作社在连接小农户与现代农业中的作用，支持合作社发展。</w:t>
      </w:r>
      <w:r>
        <w:rPr>
          <w:rFonts w:ascii="宋体" w:eastAsia="宋体" w:hAnsi="宋体" w:hint="eastAsia"/>
        </w:rPr>
        <w:t>（3）</w:t>
      </w:r>
      <w:r w:rsidRPr="007E5B5B">
        <w:rPr>
          <w:rFonts w:ascii="宋体" w:eastAsia="宋体" w:hAnsi="宋体"/>
        </w:rPr>
        <w:t>发展以合作社为核心的供应链金融模式，促进小农户与现代农业的有机衔接。</w:t>
      </w:r>
    </w:p>
    <w:p w14:paraId="13651ABE" w14:textId="1C96FD35" w:rsidR="007E5B5B" w:rsidRPr="007E5B5B" w:rsidRDefault="007E5B5B" w:rsidP="007E5B5B">
      <w:pPr>
        <w:spacing w:line="360" w:lineRule="auto"/>
        <w:ind w:firstLineChars="200" w:firstLine="420"/>
        <w:rPr>
          <w:rFonts w:ascii="宋体" w:eastAsia="宋体" w:hAnsi="宋体"/>
        </w:rPr>
      </w:pPr>
      <w:r>
        <w:rPr>
          <w:rFonts w:ascii="宋体" w:eastAsia="宋体" w:hAnsi="宋体" w:hint="eastAsia"/>
        </w:rPr>
        <w:t>本文的结论：</w:t>
      </w:r>
      <w:r w:rsidRPr="007E5B5B">
        <w:rPr>
          <w:rFonts w:ascii="宋体" w:eastAsia="宋体" w:hAnsi="宋体"/>
        </w:rPr>
        <w:t>农村供应链金融模式能够有效促进小农户与现代农业的有机衔接，为解决小农户融资问题提供了新的思路。</w:t>
      </w:r>
    </w:p>
    <w:p w14:paraId="5D861FC3" w14:textId="77777777" w:rsidR="007E5B5B" w:rsidRPr="007E5B5B" w:rsidRDefault="007E5B5B" w:rsidP="007E5B5B">
      <w:pPr>
        <w:spacing w:line="360" w:lineRule="auto"/>
        <w:ind w:firstLineChars="200" w:firstLine="420"/>
        <w:rPr>
          <w:rFonts w:ascii="宋体" w:eastAsia="宋体" w:hAnsi="宋体"/>
        </w:rPr>
      </w:pPr>
      <w:r w:rsidRPr="007E5B5B">
        <w:rPr>
          <w:rFonts w:ascii="宋体" w:eastAsia="宋体" w:hAnsi="宋体"/>
        </w:rPr>
        <w:t>本文提供了一个全新的视角来看待小农户与现代农业的衔接问题，特别是在金融支持方面。文章的研究成果对于政策制定者来说具有重要的参考价值，尤其是在设计农村金融政策和推动农业现代化方面。然而，文章也存在一些局限性，例如，研究主要集中在合作社这一特定类型的新型农业主体，而对于其他类型的新型农业主体，如家庭农场、农业龙头企业等</w:t>
      </w:r>
      <w:r w:rsidRPr="007E5B5B">
        <w:rPr>
          <w:rFonts w:ascii="宋体" w:eastAsia="宋体" w:hAnsi="宋体"/>
        </w:rPr>
        <w:lastRenderedPageBreak/>
        <w:t>的作用探讨不足。此外，文章对于供应链金融模式的具体运作机制和潜在风险的分析也较为有限，这些都是未来研究可以进一步探讨的方向。</w:t>
      </w:r>
    </w:p>
    <w:p w14:paraId="4CC86052" w14:textId="77777777" w:rsidR="007E5B5B" w:rsidRPr="007E5B5B" w:rsidRDefault="007E5B5B" w:rsidP="007E5B5B">
      <w:pPr>
        <w:spacing w:line="360" w:lineRule="auto"/>
        <w:ind w:firstLineChars="200" w:firstLine="420"/>
        <w:rPr>
          <w:rFonts w:ascii="宋体" w:eastAsia="宋体" w:hAnsi="宋体"/>
          <w:b/>
          <w:bCs/>
        </w:rPr>
      </w:pPr>
      <w:r w:rsidRPr="007E5B5B">
        <w:rPr>
          <w:rFonts w:ascii="宋体" w:eastAsia="宋体" w:hAnsi="宋体"/>
        </w:rPr>
        <w:t>本文通过实证研究，为农村供应链金融在促进小农户与现代农业衔接中的作用提供了有力证据。研究结果表明，农村供应链金融模式能够有效提升小农户的农业生产率，促进其现代化转型。这些发现对于制定相关政策，推动农业现代化具有重要意义。</w:t>
      </w:r>
    </w:p>
    <w:p w14:paraId="655254F4" w14:textId="0649E7E4" w:rsidR="008D2985" w:rsidRPr="007E5B5B" w:rsidRDefault="008D2985" w:rsidP="007E5B5B">
      <w:pPr>
        <w:spacing w:line="360" w:lineRule="auto"/>
        <w:rPr>
          <w:rFonts w:ascii="宋体" w:eastAsia="宋体" w:hAnsi="宋体" w:hint="eastAsia"/>
          <w:b/>
          <w:bCs/>
        </w:rPr>
      </w:pPr>
    </w:p>
    <w:sectPr w:rsidR="008D2985" w:rsidRPr="007E5B5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Helvetica">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0B1558"/>
    <w:multiLevelType w:val="multilevel"/>
    <w:tmpl w:val="006ECB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FEE13CD"/>
    <w:multiLevelType w:val="multilevel"/>
    <w:tmpl w:val="AF1A1C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6C19F9"/>
    <w:multiLevelType w:val="multilevel"/>
    <w:tmpl w:val="16984B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23E4358"/>
    <w:multiLevelType w:val="multilevel"/>
    <w:tmpl w:val="724683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7FA3198"/>
    <w:multiLevelType w:val="multilevel"/>
    <w:tmpl w:val="AC5CE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B4E5EA2"/>
    <w:multiLevelType w:val="multilevel"/>
    <w:tmpl w:val="76506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D07197"/>
    <w:multiLevelType w:val="multilevel"/>
    <w:tmpl w:val="0B46D7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A3504C0"/>
    <w:multiLevelType w:val="multilevel"/>
    <w:tmpl w:val="CF5ED1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3CC4643"/>
    <w:multiLevelType w:val="multilevel"/>
    <w:tmpl w:val="6914BE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64C65C44"/>
    <w:multiLevelType w:val="multilevel"/>
    <w:tmpl w:val="CA781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44B2A65"/>
    <w:multiLevelType w:val="multilevel"/>
    <w:tmpl w:val="3D262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8837A7C"/>
    <w:multiLevelType w:val="multilevel"/>
    <w:tmpl w:val="793ED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57891397">
    <w:abstractNumId w:val="5"/>
  </w:num>
  <w:num w:numId="2" w16cid:durableId="552734932">
    <w:abstractNumId w:val="0"/>
  </w:num>
  <w:num w:numId="3" w16cid:durableId="1543713557">
    <w:abstractNumId w:val="7"/>
  </w:num>
  <w:num w:numId="4" w16cid:durableId="1403453893">
    <w:abstractNumId w:val="8"/>
  </w:num>
  <w:num w:numId="5" w16cid:durableId="883560904">
    <w:abstractNumId w:val="6"/>
  </w:num>
  <w:num w:numId="6" w16cid:durableId="2140537292">
    <w:abstractNumId w:val="9"/>
  </w:num>
  <w:num w:numId="7" w16cid:durableId="348794231">
    <w:abstractNumId w:val="2"/>
  </w:num>
  <w:num w:numId="8" w16cid:durableId="1931305052">
    <w:abstractNumId w:val="11"/>
  </w:num>
  <w:num w:numId="9" w16cid:durableId="466556581">
    <w:abstractNumId w:val="1"/>
  </w:num>
  <w:num w:numId="10" w16cid:durableId="298071265">
    <w:abstractNumId w:val="10"/>
  </w:num>
  <w:num w:numId="11" w16cid:durableId="1905797577">
    <w:abstractNumId w:val="3"/>
  </w:num>
  <w:num w:numId="12" w16cid:durableId="173226942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985"/>
    <w:rsid w:val="001551D5"/>
    <w:rsid w:val="00386035"/>
    <w:rsid w:val="007E5B5B"/>
    <w:rsid w:val="008A5947"/>
    <w:rsid w:val="008D2985"/>
    <w:rsid w:val="00936B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E23213"/>
  <w15:chartTrackingRefBased/>
  <w15:docId w15:val="{884A87BB-F38B-45AA-8EAA-61B2C73A39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next w:val="a"/>
    <w:link w:val="20"/>
    <w:uiPriority w:val="9"/>
    <w:semiHidden/>
    <w:unhideWhenUsed/>
    <w:qFormat/>
    <w:rsid w:val="001551D5"/>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semiHidden/>
    <w:rsid w:val="001551D5"/>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015594">
      <w:bodyDiv w:val="1"/>
      <w:marLeft w:val="0"/>
      <w:marRight w:val="0"/>
      <w:marTop w:val="0"/>
      <w:marBottom w:val="0"/>
      <w:divBdr>
        <w:top w:val="none" w:sz="0" w:space="0" w:color="auto"/>
        <w:left w:val="none" w:sz="0" w:space="0" w:color="auto"/>
        <w:bottom w:val="none" w:sz="0" w:space="0" w:color="auto"/>
        <w:right w:val="none" w:sz="0" w:space="0" w:color="auto"/>
      </w:divBdr>
    </w:div>
    <w:div w:id="330261807">
      <w:bodyDiv w:val="1"/>
      <w:marLeft w:val="0"/>
      <w:marRight w:val="0"/>
      <w:marTop w:val="0"/>
      <w:marBottom w:val="0"/>
      <w:divBdr>
        <w:top w:val="none" w:sz="0" w:space="0" w:color="auto"/>
        <w:left w:val="none" w:sz="0" w:space="0" w:color="auto"/>
        <w:bottom w:val="none" w:sz="0" w:space="0" w:color="auto"/>
        <w:right w:val="none" w:sz="0" w:space="0" w:color="auto"/>
      </w:divBdr>
    </w:div>
    <w:div w:id="387534144">
      <w:bodyDiv w:val="1"/>
      <w:marLeft w:val="0"/>
      <w:marRight w:val="0"/>
      <w:marTop w:val="0"/>
      <w:marBottom w:val="0"/>
      <w:divBdr>
        <w:top w:val="none" w:sz="0" w:space="0" w:color="auto"/>
        <w:left w:val="none" w:sz="0" w:space="0" w:color="auto"/>
        <w:bottom w:val="none" w:sz="0" w:space="0" w:color="auto"/>
        <w:right w:val="none" w:sz="0" w:space="0" w:color="auto"/>
      </w:divBdr>
    </w:div>
    <w:div w:id="928848831">
      <w:bodyDiv w:val="1"/>
      <w:marLeft w:val="0"/>
      <w:marRight w:val="0"/>
      <w:marTop w:val="0"/>
      <w:marBottom w:val="0"/>
      <w:divBdr>
        <w:top w:val="none" w:sz="0" w:space="0" w:color="auto"/>
        <w:left w:val="none" w:sz="0" w:space="0" w:color="auto"/>
        <w:bottom w:val="none" w:sz="0" w:space="0" w:color="auto"/>
        <w:right w:val="none" w:sz="0" w:space="0" w:color="auto"/>
      </w:divBdr>
    </w:div>
    <w:div w:id="1001541151">
      <w:bodyDiv w:val="1"/>
      <w:marLeft w:val="0"/>
      <w:marRight w:val="0"/>
      <w:marTop w:val="0"/>
      <w:marBottom w:val="0"/>
      <w:divBdr>
        <w:top w:val="none" w:sz="0" w:space="0" w:color="auto"/>
        <w:left w:val="none" w:sz="0" w:space="0" w:color="auto"/>
        <w:bottom w:val="none" w:sz="0" w:space="0" w:color="auto"/>
        <w:right w:val="none" w:sz="0" w:space="0" w:color="auto"/>
      </w:divBdr>
    </w:div>
    <w:div w:id="1238444866">
      <w:bodyDiv w:val="1"/>
      <w:marLeft w:val="0"/>
      <w:marRight w:val="0"/>
      <w:marTop w:val="0"/>
      <w:marBottom w:val="0"/>
      <w:divBdr>
        <w:top w:val="none" w:sz="0" w:space="0" w:color="auto"/>
        <w:left w:val="none" w:sz="0" w:space="0" w:color="auto"/>
        <w:bottom w:val="none" w:sz="0" w:space="0" w:color="auto"/>
        <w:right w:val="none" w:sz="0" w:space="0" w:color="auto"/>
      </w:divBdr>
    </w:div>
    <w:div w:id="1635326089">
      <w:bodyDiv w:val="1"/>
      <w:marLeft w:val="0"/>
      <w:marRight w:val="0"/>
      <w:marTop w:val="0"/>
      <w:marBottom w:val="0"/>
      <w:divBdr>
        <w:top w:val="none" w:sz="0" w:space="0" w:color="auto"/>
        <w:left w:val="none" w:sz="0" w:space="0" w:color="auto"/>
        <w:bottom w:val="none" w:sz="0" w:space="0" w:color="auto"/>
        <w:right w:val="none" w:sz="0" w:space="0" w:color="auto"/>
      </w:divBdr>
    </w:div>
    <w:div w:id="1646658949">
      <w:bodyDiv w:val="1"/>
      <w:marLeft w:val="0"/>
      <w:marRight w:val="0"/>
      <w:marTop w:val="0"/>
      <w:marBottom w:val="0"/>
      <w:divBdr>
        <w:top w:val="none" w:sz="0" w:space="0" w:color="auto"/>
        <w:left w:val="none" w:sz="0" w:space="0" w:color="auto"/>
        <w:bottom w:val="none" w:sz="0" w:space="0" w:color="auto"/>
        <w:right w:val="none" w:sz="0" w:space="0" w:color="auto"/>
      </w:divBdr>
    </w:div>
    <w:div w:id="2035769561">
      <w:bodyDiv w:val="1"/>
      <w:marLeft w:val="0"/>
      <w:marRight w:val="0"/>
      <w:marTop w:val="0"/>
      <w:marBottom w:val="0"/>
      <w:divBdr>
        <w:top w:val="none" w:sz="0" w:space="0" w:color="auto"/>
        <w:left w:val="none" w:sz="0" w:space="0" w:color="auto"/>
        <w:bottom w:val="none" w:sz="0" w:space="0" w:color="auto"/>
        <w:right w:val="none" w:sz="0" w:space="0" w:color="auto"/>
      </w:divBdr>
    </w:div>
    <w:div w:id="2127037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8</Pages>
  <Words>682</Words>
  <Characters>3888</Characters>
  <Application>Microsoft Office Word</Application>
  <DocSecurity>0</DocSecurity>
  <Lines>32</Lines>
  <Paragraphs>9</Paragraphs>
  <ScaleCrop>false</ScaleCrop>
  <Company/>
  <LinksUpToDate>false</LinksUpToDate>
  <CharactersWithSpaces>4561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某文 位</dc:creator>
  <cp:keywords/>
  <dc:description/>
  <cp:lastModifiedBy>某文 位</cp:lastModifiedBy>
  <cp:revision>2</cp:revision>
  <dcterms:created xsi:type="dcterms:W3CDTF">2024-12-26T09:01:00Z</dcterms:created>
  <dcterms:modified xsi:type="dcterms:W3CDTF">2024-12-26T09:49:00Z</dcterms:modified>
</cp:coreProperties>
</file>