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8658E9" w14:textId="730BDE41" w:rsidR="009478AC" w:rsidRPr="009478AC" w:rsidRDefault="009478AC" w:rsidP="001E3A0C">
      <w:pPr>
        <w:jc w:val="center"/>
        <w:rPr>
          <w:rFonts w:ascii="宋体" w:eastAsia="宋体" w:hAnsi="宋体" w:hint="eastAsia"/>
        </w:rPr>
      </w:pPr>
      <w:r w:rsidRPr="009478AC">
        <w:rPr>
          <w:rFonts w:ascii="宋体" w:eastAsia="宋体" w:hAnsi="宋体"/>
        </w:rPr>
        <w:t>《核心企业参与供应链金融意愿及融资模式取向</w:t>
      </w:r>
      <w:r w:rsidR="001E3A0C">
        <w:rPr>
          <w:rFonts w:ascii="宋体" w:eastAsia="宋体" w:hAnsi="宋体" w:hint="eastAsia"/>
        </w:rPr>
        <w:t>（于辉、王霜</w:t>
      </w:r>
      <w:r w:rsidRPr="009478AC">
        <w:rPr>
          <w:rFonts w:ascii="宋体" w:eastAsia="宋体" w:hAnsi="宋体"/>
        </w:rPr>
        <w:t>》读书笔记</w:t>
      </w:r>
    </w:p>
    <w:p w14:paraId="4D0DC89F" w14:textId="77777777" w:rsidR="009478AC" w:rsidRPr="009478AC" w:rsidRDefault="009478AC" w:rsidP="009478AC">
      <w:pPr>
        <w:ind w:firstLineChars="200" w:firstLine="440"/>
        <w:rPr>
          <w:rFonts w:ascii="宋体" w:eastAsia="宋体" w:hAnsi="宋体"/>
        </w:rPr>
      </w:pPr>
      <w:r w:rsidRPr="009478AC">
        <w:rPr>
          <w:rFonts w:ascii="宋体" w:eastAsia="宋体" w:hAnsi="宋体"/>
        </w:rPr>
        <w:t>在供应链金融领域，核心企业的角色与行为一直是影响整个供应链资金运作效率和稳定性的关键因素。于辉和王霜撰写的《核心企业参与供应链金融意愿及融资模式取向》一文，通过深入的研究与分析，为我们揭示了核心企业在供应链金融中的意愿变化规律以及融资模式选择倾向，对深入理解供应链金融的运作机制具有重要意义。</w:t>
      </w:r>
    </w:p>
    <w:p w14:paraId="4ED81885" w14:textId="5B9D172A" w:rsidR="009478AC" w:rsidRPr="009478AC" w:rsidRDefault="009478AC" w:rsidP="009478AC">
      <w:pPr>
        <w:rPr>
          <w:rFonts w:ascii="宋体" w:eastAsia="宋体" w:hAnsi="宋体"/>
        </w:rPr>
      </w:pPr>
      <w:r w:rsidRPr="009478AC">
        <w:rPr>
          <w:rFonts w:ascii="宋体" w:eastAsia="宋体" w:hAnsi="宋体"/>
        </w:rPr>
        <w:t>一、</w:t>
      </w:r>
      <w:r w:rsidR="001E3A0C">
        <w:rPr>
          <w:rFonts w:ascii="宋体" w:eastAsia="宋体" w:hAnsi="宋体" w:hint="eastAsia"/>
        </w:rPr>
        <w:t>论文</w:t>
      </w:r>
      <w:r w:rsidRPr="009478AC">
        <w:rPr>
          <w:rFonts w:ascii="宋体" w:eastAsia="宋体" w:hAnsi="宋体"/>
        </w:rPr>
        <w:t>研究背景与目的</w:t>
      </w:r>
    </w:p>
    <w:p w14:paraId="53318ADF" w14:textId="6676CDC3" w:rsidR="009478AC" w:rsidRPr="009478AC" w:rsidRDefault="009478AC" w:rsidP="009478AC">
      <w:pPr>
        <w:ind w:firstLineChars="200" w:firstLine="440"/>
        <w:rPr>
          <w:rFonts w:ascii="宋体" w:eastAsia="宋体" w:hAnsi="宋体"/>
        </w:rPr>
      </w:pPr>
      <w:r w:rsidRPr="009478AC">
        <w:rPr>
          <w:rFonts w:ascii="宋体" w:eastAsia="宋体" w:hAnsi="宋体"/>
        </w:rPr>
        <w:t>随着供应链金融在我国的迅速发展，其在缓解中小微企业融资难、融资贵问题上发挥着日益重要的作用。然而，现有研究对于核心企业在供应链金融中的参与意愿及融资模式选择关注不足。</w:t>
      </w:r>
      <w:r w:rsidR="001E3A0C">
        <w:rPr>
          <w:rFonts w:ascii="宋体" w:eastAsia="宋体" w:hAnsi="宋体" w:hint="eastAsia"/>
        </w:rPr>
        <w:t>这篇文章</w:t>
      </w:r>
      <w:r w:rsidRPr="009478AC">
        <w:rPr>
          <w:rFonts w:ascii="宋体" w:eastAsia="宋体" w:hAnsi="宋体"/>
        </w:rPr>
        <w:t>旨在填补这一研究空白，通过对上市企业与其供应商、客户所组成的二级供应链数据的实证分析，深入探究核心企业在供应链金融中的行为模式及其背后的逻辑。</w:t>
      </w:r>
    </w:p>
    <w:p w14:paraId="327CDAA5" w14:textId="61B35D8E" w:rsidR="009478AC" w:rsidRPr="009478AC" w:rsidRDefault="009478AC" w:rsidP="009478AC">
      <w:pPr>
        <w:rPr>
          <w:rFonts w:ascii="宋体" w:eastAsia="宋体" w:hAnsi="宋体"/>
        </w:rPr>
      </w:pPr>
      <w:r w:rsidRPr="009478AC">
        <w:rPr>
          <w:rFonts w:ascii="宋体" w:eastAsia="宋体" w:hAnsi="宋体"/>
        </w:rPr>
        <w:t>二、核心企业参与供应链金融意愿</w:t>
      </w:r>
      <w:r w:rsidR="001E3A0C">
        <w:rPr>
          <w:rFonts w:ascii="宋体" w:eastAsia="宋体" w:hAnsi="宋体" w:hint="eastAsia"/>
        </w:rPr>
        <w:t>分析内容</w:t>
      </w:r>
    </w:p>
    <w:p w14:paraId="7ADCC960" w14:textId="373D1C27" w:rsidR="009478AC" w:rsidRPr="009478AC" w:rsidRDefault="009478AC" w:rsidP="009478AC">
      <w:pPr>
        <w:ind w:firstLineChars="200" w:firstLine="440"/>
        <w:rPr>
          <w:rFonts w:ascii="宋体" w:eastAsia="宋体" w:hAnsi="宋体"/>
        </w:rPr>
      </w:pPr>
      <w:r w:rsidRPr="009478AC">
        <w:rPr>
          <w:rFonts w:ascii="宋体" w:eastAsia="宋体" w:hAnsi="宋体"/>
        </w:rPr>
        <w:t>1. 研究假设提出</w:t>
      </w:r>
    </w:p>
    <w:p w14:paraId="03265520" w14:textId="48A9ABF9" w:rsidR="009478AC" w:rsidRPr="009478AC" w:rsidRDefault="009478AC" w:rsidP="009478AC">
      <w:pPr>
        <w:ind w:firstLineChars="200" w:firstLine="440"/>
        <w:rPr>
          <w:rFonts w:ascii="宋体" w:eastAsia="宋体" w:hAnsi="宋体"/>
        </w:rPr>
      </w:pPr>
      <w:r w:rsidRPr="009478AC">
        <w:rPr>
          <w:rFonts w:ascii="宋体" w:eastAsia="宋体" w:hAnsi="宋体"/>
        </w:rPr>
        <w:t>基于供应链金融的金融性与供应链性，以及核心企业在其中的信用提供与成本效益权衡，作者提出核心企业参与供应链金融意愿与资金周转之间存在“倒U型”关系的假设，并进一步细分到上游和下游供应链融资情境中。</w:t>
      </w:r>
    </w:p>
    <w:p w14:paraId="392E21FC" w14:textId="7E73D1DC" w:rsidR="009478AC" w:rsidRPr="009478AC" w:rsidRDefault="009478AC" w:rsidP="009478AC">
      <w:pPr>
        <w:ind w:firstLineChars="200" w:firstLine="440"/>
        <w:rPr>
          <w:rFonts w:ascii="宋体" w:eastAsia="宋体" w:hAnsi="宋体"/>
        </w:rPr>
      </w:pPr>
      <w:r w:rsidRPr="009478AC">
        <w:rPr>
          <w:rFonts w:ascii="宋体" w:eastAsia="宋体" w:hAnsi="宋体"/>
        </w:rPr>
        <w:t xml:space="preserve">2. </w:t>
      </w:r>
      <w:r w:rsidR="0001227A">
        <w:rPr>
          <w:rFonts w:ascii="宋体" w:eastAsia="宋体" w:hAnsi="宋体" w:hint="eastAsia"/>
        </w:rPr>
        <w:t>本文章的</w:t>
      </w:r>
      <w:r w:rsidRPr="009478AC">
        <w:rPr>
          <w:rFonts w:ascii="宋体" w:eastAsia="宋体" w:hAnsi="宋体"/>
        </w:rPr>
        <w:t>实证检验过程</w:t>
      </w:r>
    </w:p>
    <w:p w14:paraId="39DA8B8D" w14:textId="77777777" w:rsidR="009478AC" w:rsidRPr="009478AC" w:rsidRDefault="009478AC" w:rsidP="009478AC">
      <w:pPr>
        <w:ind w:firstLineChars="200" w:firstLine="440"/>
        <w:rPr>
          <w:rFonts w:ascii="宋体" w:eastAsia="宋体" w:hAnsi="宋体"/>
        </w:rPr>
      </w:pPr>
      <w:r w:rsidRPr="009478AC">
        <w:rPr>
          <w:rFonts w:ascii="宋体" w:eastAsia="宋体" w:hAnsi="宋体"/>
        </w:rPr>
        <w:t>通过手动搜集和匹配2019年第一季度至2021年第二季度我国上市企业与其供应商、客户组成的二级供应链数据，分别得到上游和下游供应链的“企业 - 季度”观测值。选取核心企业资金周转作为被解释变量，以供应链金融（应收账款融资）及其二次项为解释变量，并纳入多个控制变量，构建回归模型进行U型检验。</w:t>
      </w:r>
    </w:p>
    <w:p w14:paraId="7AD9F540" w14:textId="14D16818" w:rsidR="009478AC" w:rsidRPr="009478AC" w:rsidRDefault="009478AC" w:rsidP="009478AC">
      <w:pPr>
        <w:ind w:firstLineChars="200" w:firstLine="440"/>
        <w:rPr>
          <w:rFonts w:ascii="宋体" w:eastAsia="宋体" w:hAnsi="宋体"/>
        </w:rPr>
      </w:pPr>
      <w:r w:rsidRPr="009478AC">
        <w:rPr>
          <w:rFonts w:ascii="宋体" w:eastAsia="宋体" w:hAnsi="宋体"/>
        </w:rPr>
        <w:t>3. 结果分析</w:t>
      </w:r>
    </w:p>
    <w:p w14:paraId="75639B9C" w14:textId="494286DA" w:rsidR="009478AC" w:rsidRPr="009478AC" w:rsidRDefault="009478AC" w:rsidP="00DE0FF4">
      <w:pPr>
        <w:ind w:firstLineChars="200" w:firstLine="440"/>
        <w:rPr>
          <w:rFonts w:ascii="宋体" w:eastAsia="宋体" w:hAnsi="宋体"/>
        </w:rPr>
      </w:pPr>
      <w:r w:rsidRPr="009478AC">
        <w:rPr>
          <w:rFonts w:ascii="宋体" w:eastAsia="宋体" w:hAnsi="宋体"/>
        </w:rPr>
        <w:t>上游供应链融资检验结果显示，供应商应用供应链金融与核心企业资金周转之间存在“倒U型”关系。在融资体量未超过拐点时，核心企业提供信用担保有助于自身资金周转，参与意愿强；超过拐点后则抑制资金周转，意愿转弱。下游供应链融资同样呈现“倒U型”关系，表明客户提供信用担保在一定融资范围内促进核心企业资金周转，超出范围则产生抑制作用。</w:t>
      </w:r>
    </w:p>
    <w:p w14:paraId="338BC143" w14:textId="0CFF537C" w:rsidR="009478AC" w:rsidRPr="009478AC" w:rsidRDefault="009478AC" w:rsidP="009478AC">
      <w:pPr>
        <w:rPr>
          <w:rFonts w:ascii="宋体" w:eastAsia="宋体" w:hAnsi="宋体"/>
        </w:rPr>
      </w:pPr>
      <w:r w:rsidRPr="009478AC">
        <w:rPr>
          <w:rFonts w:ascii="宋体" w:eastAsia="宋体" w:hAnsi="宋体"/>
        </w:rPr>
        <w:t>三、核心企业供应链金融模式选择</w:t>
      </w:r>
    </w:p>
    <w:p w14:paraId="5DA6DF9E" w14:textId="0EAA3755" w:rsidR="009478AC" w:rsidRPr="009478AC" w:rsidRDefault="009478AC" w:rsidP="0035074E">
      <w:pPr>
        <w:rPr>
          <w:rFonts w:ascii="宋体" w:eastAsia="宋体" w:hAnsi="宋体"/>
        </w:rPr>
      </w:pPr>
      <w:r w:rsidRPr="009478AC">
        <w:rPr>
          <w:rFonts w:ascii="宋体" w:eastAsia="宋体" w:hAnsi="宋体"/>
        </w:rPr>
        <w:t xml:space="preserve"> </w:t>
      </w:r>
      <w:r>
        <w:rPr>
          <w:rFonts w:ascii="宋体" w:eastAsia="宋体" w:hAnsi="宋体" w:hint="eastAsia"/>
        </w:rPr>
        <w:t xml:space="preserve">   </w:t>
      </w:r>
      <w:r w:rsidR="00DE0FF4">
        <w:rPr>
          <w:rFonts w:ascii="宋体" w:eastAsia="宋体" w:hAnsi="宋体" w:hint="eastAsia"/>
        </w:rPr>
        <w:t>首先，在</w:t>
      </w:r>
      <w:r w:rsidRPr="009478AC">
        <w:rPr>
          <w:rFonts w:ascii="宋体" w:eastAsia="宋体" w:hAnsi="宋体"/>
        </w:rPr>
        <w:t>意愿强情景下</w:t>
      </w:r>
      <w:r w:rsidR="00DE0FF4">
        <w:rPr>
          <w:rFonts w:ascii="宋体" w:eastAsia="宋体" w:hAnsi="宋体" w:hint="eastAsia"/>
        </w:rPr>
        <w:t>，</w:t>
      </w:r>
      <w:r w:rsidRPr="009478AC">
        <w:rPr>
          <w:rFonts w:ascii="宋体" w:eastAsia="宋体" w:hAnsi="宋体"/>
        </w:rPr>
        <w:t>在控制年份和个体固定效应下，对意愿强区间内的上、下游供应链金融进行实证检验。结果表明，上游供应链融资中存货融资模式对核心企业资金周转有显著促进作用，而应收账款和预付款融资模式影响不显著；下游供应链融资中预付款融资模式显著减缓资金周转，应收账款和存货融资模式影响不显著。因此，在意愿强情景下，上游核心企业可增加存货融资，下游核心企业可减少预付款融</w:t>
      </w:r>
      <w:r w:rsidRPr="009478AC">
        <w:rPr>
          <w:rFonts w:ascii="宋体" w:eastAsia="宋体" w:hAnsi="宋体"/>
        </w:rPr>
        <w:lastRenderedPageBreak/>
        <w:t>资来开展供应链金融活动。</w:t>
      </w:r>
      <w:r w:rsidR="00DE0FF4">
        <w:rPr>
          <w:rFonts w:ascii="宋体" w:eastAsia="宋体" w:hAnsi="宋体" w:hint="eastAsia"/>
        </w:rPr>
        <w:t>其次，在</w:t>
      </w:r>
      <w:r w:rsidRPr="009478AC">
        <w:rPr>
          <w:rFonts w:ascii="宋体" w:eastAsia="宋体" w:hAnsi="宋体"/>
        </w:rPr>
        <w:t>意愿弱情景下</w:t>
      </w:r>
      <w:r w:rsidR="00DE0FF4">
        <w:rPr>
          <w:rFonts w:ascii="宋体" w:eastAsia="宋体" w:hAnsi="宋体" w:hint="eastAsia"/>
        </w:rPr>
        <w:t>，</w:t>
      </w:r>
      <w:r w:rsidRPr="009478AC">
        <w:rPr>
          <w:rFonts w:ascii="宋体" w:eastAsia="宋体" w:hAnsi="宋体"/>
        </w:rPr>
        <w:t>针对意愿弱区间的检验发现，上游供应链融资中应收账款和存货融资模式对核心企业资金周转有显著促进作用，预付款融资模式影响不显著；下游供应链融资中仅存货融资模式显著促进资金周转。所以，在意愿弱情景下，上游核心企业可增加应收账款或存货融资，下游核心企业可增加存货融资来开展供应链金融活动。</w:t>
      </w:r>
      <w:r w:rsidR="0035074E">
        <w:rPr>
          <w:rFonts w:ascii="宋体" w:eastAsia="宋体" w:hAnsi="宋体" w:hint="eastAsia"/>
        </w:rPr>
        <w:t>再次，对</w:t>
      </w:r>
      <w:r w:rsidRPr="009478AC">
        <w:rPr>
          <w:rFonts w:ascii="宋体" w:eastAsia="宋体" w:hAnsi="宋体"/>
        </w:rPr>
        <w:t>模糊集定性定比分析的验</w:t>
      </w:r>
      <w:r w:rsidR="0035074E">
        <w:rPr>
          <w:rFonts w:ascii="宋体" w:eastAsia="宋体" w:hAnsi="宋体" w:hint="eastAsia"/>
        </w:rPr>
        <w:t>证，在</w:t>
      </w:r>
      <w:r w:rsidRPr="009478AC">
        <w:rPr>
          <w:rFonts w:ascii="宋体" w:eastAsia="宋体" w:hAnsi="宋体"/>
        </w:rPr>
        <w:t>对数据进行均值化处理和校准后，</w:t>
      </w:r>
      <w:r w:rsidR="0035074E" w:rsidRPr="009478AC">
        <w:rPr>
          <w:rFonts w:ascii="宋体" w:eastAsia="宋体" w:hAnsi="宋体"/>
        </w:rPr>
        <w:t>数据校准与必要性分析</w:t>
      </w:r>
      <w:r w:rsidR="0035074E">
        <w:rPr>
          <w:rFonts w:ascii="宋体" w:eastAsia="宋体" w:hAnsi="宋体" w:hint="eastAsia"/>
        </w:rPr>
        <w:t>中</w:t>
      </w:r>
      <w:r w:rsidR="0035074E">
        <w:rPr>
          <w:rFonts w:ascii="宋体" w:eastAsia="宋体" w:hAnsi="宋体" w:hint="eastAsia"/>
        </w:rPr>
        <w:t>，</w:t>
      </w:r>
      <w:r w:rsidRPr="009478AC">
        <w:rPr>
          <w:rFonts w:ascii="宋体" w:eastAsia="宋体" w:hAnsi="宋体"/>
        </w:rPr>
        <w:t>发现上游供应链融资两种情景下的多个前因条件（如应收账款、预付款、存货融资模式及供应链金融）均非核心企业资金周转的必要条件，可进行组合分析；下游供应链融资意愿强情景下供应链金融为必要条件，其他条件可组合分析意愿弱情景。构型分析</w:t>
      </w:r>
      <w:r w:rsidR="0035074E">
        <w:rPr>
          <w:rFonts w:ascii="宋体" w:eastAsia="宋体" w:hAnsi="宋体" w:hint="eastAsia"/>
        </w:rPr>
        <w:t>中，</w:t>
      </w:r>
      <w:r w:rsidRPr="009478AC">
        <w:rPr>
          <w:rFonts w:ascii="宋体" w:eastAsia="宋体" w:hAnsi="宋体"/>
        </w:rPr>
        <w:t>上游供应链融资意愿强情景下产生3种构型，意愿弱情景下产生4种构型，且均具有较好一致性和一定覆盖率，部分构型结果与实证检验结果一致。下游供应链融资意愿强情景下形成1种构型，意愿弱情景下形成4种构型，其结果也与实证结果相符，再次印证了实证结论的稳健性和可信性。</w:t>
      </w:r>
    </w:p>
    <w:p w14:paraId="7F0D17D4" w14:textId="4FFCF22D" w:rsidR="009478AC" w:rsidRPr="009478AC" w:rsidRDefault="009478AC" w:rsidP="009478AC">
      <w:pPr>
        <w:rPr>
          <w:rFonts w:ascii="宋体" w:eastAsia="宋体" w:hAnsi="宋体"/>
        </w:rPr>
      </w:pPr>
      <w:r w:rsidRPr="009478AC">
        <w:rPr>
          <w:rFonts w:ascii="宋体" w:eastAsia="宋体" w:hAnsi="宋体"/>
        </w:rPr>
        <w:t>四、研究结论与启示</w:t>
      </w:r>
    </w:p>
    <w:p w14:paraId="34581FC5" w14:textId="35E38E8D" w:rsidR="009478AC" w:rsidRPr="009478AC" w:rsidRDefault="009478AC" w:rsidP="009478AC">
      <w:pPr>
        <w:ind w:firstLineChars="200" w:firstLine="440"/>
        <w:rPr>
          <w:rFonts w:ascii="宋体" w:eastAsia="宋体" w:hAnsi="宋体"/>
        </w:rPr>
      </w:pPr>
      <w:r w:rsidRPr="009478AC">
        <w:rPr>
          <w:rFonts w:ascii="宋体" w:eastAsia="宋体" w:hAnsi="宋体"/>
        </w:rPr>
        <w:t>1. 主要结论</w:t>
      </w:r>
    </w:p>
    <w:p w14:paraId="33C796DE" w14:textId="2C756584" w:rsidR="009478AC" w:rsidRPr="00BC4DAC" w:rsidRDefault="009478AC" w:rsidP="00BC4DAC">
      <w:pPr>
        <w:pStyle w:val="a3"/>
        <w:numPr>
          <w:ilvl w:val="0"/>
          <w:numId w:val="1"/>
        </w:numPr>
        <w:ind w:firstLineChars="0"/>
        <w:rPr>
          <w:rFonts w:ascii="宋体" w:eastAsia="宋体" w:hAnsi="宋体"/>
        </w:rPr>
      </w:pPr>
      <w:r w:rsidRPr="00BC4DAC">
        <w:rPr>
          <w:rFonts w:ascii="宋体" w:eastAsia="宋体" w:hAnsi="宋体"/>
        </w:rPr>
        <w:t>核心企业参与供应链金融意愿先强后弱，与资金周转呈“倒U型”关系，存在意愿强和意愿弱两种情景。</w:t>
      </w:r>
    </w:p>
    <w:p w14:paraId="0AF3955F" w14:textId="06BA38D4" w:rsidR="009478AC" w:rsidRPr="00BC4DAC" w:rsidRDefault="009478AC" w:rsidP="00BC4DAC">
      <w:pPr>
        <w:pStyle w:val="a3"/>
        <w:numPr>
          <w:ilvl w:val="0"/>
          <w:numId w:val="1"/>
        </w:numPr>
        <w:ind w:firstLineChars="0"/>
        <w:rPr>
          <w:rFonts w:ascii="宋体" w:eastAsia="宋体" w:hAnsi="宋体"/>
        </w:rPr>
      </w:pPr>
      <w:r w:rsidRPr="00BC4DAC">
        <w:rPr>
          <w:rFonts w:ascii="宋体" w:eastAsia="宋体" w:hAnsi="宋体"/>
        </w:rPr>
        <w:t>核心企业显著偏好存货融资模式，在不同意愿情景下，通过调整存货融资及其他相关融资模式可促进资金周转。</w:t>
      </w:r>
    </w:p>
    <w:p w14:paraId="0FC46869" w14:textId="623EF862" w:rsidR="009478AC" w:rsidRPr="00BC4DAC" w:rsidRDefault="009478AC" w:rsidP="00BC4DAC">
      <w:pPr>
        <w:pStyle w:val="a3"/>
        <w:numPr>
          <w:ilvl w:val="0"/>
          <w:numId w:val="1"/>
        </w:numPr>
        <w:ind w:firstLineChars="0"/>
        <w:rPr>
          <w:rFonts w:ascii="宋体" w:eastAsia="宋体" w:hAnsi="宋体" w:hint="eastAsia"/>
        </w:rPr>
      </w:pPr>
      <w:r w:rsidRPr="00BC4DAC">
        <w:rPr>
          <w:rFonts w:ascii="宋体" w:eastAsia="宋体" w:hAnsi="宋体"/>
        </w:rPr>
        <w:t>上游供应链融资中核心企业选择模式更多，且融资模式效果总体优于下游供应链融资。</w:t>
      </w:r>
    </w:p>
    <w:p w14:paraId="7CE62EC6" w14:textId="576B3FE5" w:rsidR="009478AC" w:rsidRPr="009478AC" w:rsidRDefault="009478AC" w:rsidP="009478AC">
      <w:pPr>
        <w:ind w:firstLineChars="200" w:firstLine="440"/>
        <w:rPr>
          <w:rFonts w:ascii="宋体" w:eastAsia="宋体" w:hAnsi="宋体"/>
        </w:rPr>
      </w:pPr>
      <w:r w:rsidRPr="009478AC">
        <w:rPr>
          <w:rFonts w:ascii="宋体" w:eastAsia="宋体" w:hAnsi="宋体"/>
        </w:rPr>
        <w:t>2. 实践启示</w:t>
      </w:r>
    </w:p>
    <w:p w14:paraId="23D2CC9E" w14:textId="31B9047A" w:rsidR="009478AC" w:rsidRPr="009478AC" w:rsidRDefault="009478AC" w:rsidP="000C52AB">
      <w:pPr>
        <w:ind w:firstLineChars="200" w:firstLine="440"/>
        <w:rPr>
          <w:rFonts w:ascii="宋体" w:eastAsia="宋体" w:hAnsi="宋体"/>
        </w:rPr>
      </w:pPr>
      <w:r w:rsidRPr="009478AC">
        <w:rPr>
          <w:rFonts w:ascii="宋体" w:eastAsia="宋体" w:hAnsi="宋体"/>
        </w:rPr>
        <w:t>核心企业应认识到供应链金融对自身资金周转的积极作用，增强参与信心，尽管存在不确定性，但长期来看积极参与利大于弊。各参与方应根据融资体量阈值控制融资规模，以实现合作共赢；同时，企业应依据自身在供应链中的角色灵活调整融资模式，提高资金利用效率。</w:t>
      </w:r>
    </w:p>
    <w:p w14:paraId="62552380" w14:textId="01B860F5" w:rsidR="009478AC" w:rsidRPr="009478AC" w:rsidRDefault="009478AC" w:rsidP="009478AC">
      <w:pPr>
        <w:rPr>
          <w:rFonts w:ascii="宋体" w:eastAsia="宋体" w:hAnsi="宋体"/>
        </w:rPr>
      </w:pPr>
      <w:r w:rsidRPr="009478AC">
        <w:rPr>
          <w:rFonts w:ascii="宋体" w:eastAsia="宋体" w:hAnsi="宋体"/>
        </w:rPr>
        <w:t>五、个人感悟</w:t>
      </w:r>
    </w:p>
    <w:p w14:paraId="720D96FF" w14:textId="29E52FFD" w:rsidR="00A07BA4" w:rsidRPr="00EC2CD5" w:rsidRDefault="009478AC" w:rsidP="009478AC">
      <w:pPr>
        <w:ind w:firstLineChars="200" w:firstLine="440"/>
        <w:rPr>
          <w:rFonts w:ascii="宋体" w:eastAsia="宋体" w:hAnsi="宋体" w:hint="eastAsia"/>
        </w:rPr>
      </w:pPr>
      <w:r w:rsidRPr="009478AC">
        <w:rPr>
          <w:rFonts w:ascii="宋体" w:eastAsia="宋体" w:hAnsi="宋体"/>
        </w:rPr>
        <w:t>这篇论文通过严谨的实证研究和创新的分析方法，深入剖析了核心企业在供应链金融中的行为特征。从理论层面看，为供应链金融领域的学术研究提供了新的视角和实证依据</w:t>
      </w:r>
      <w:r w:rsidR="000C52AB">
        <w:rPr>
          <w:rFonts w:ascii="宋体" w:eastAsia="宋体" w:hAnsi="宋体" w:hint="eastAsia"/>
        </w:rPr>
        <w:t>。</w:t>
      </w:r>
      <w:r w:rsidRPr="009478AC">
        <w:rPr>
          <w:rFonts w:ascii="宋体" w:eastAsia="宋体" w:hAnsi="宋体"/>
        </w:rPr>
        <w:t>在实践层面，其研究结论对企业决策、政策制定以及供应链金融的健康发展具有重要指导意义。企业管理者可以根据核心企业的行为模式优化自身供应链融资策略，政策制定者能更精准地制定激励政策，而金融机构也能更好地设计供应链金融产品和服务。同时，论文中所指出的研究局限也为后续研究指明了方向</w:t>
      </w:r>
      <w:r w:rsidR="000C52AB">
        <w:rPr>
          <w:rFonts w:ascii="宋体" w:eastAsia="宋体" w:hAnsi="宋体" w:hint="eastAsia"/>
        </w:rPr>
        <w:t>。</w:t>
      </w:r>
    </w:p>
    <w:sectPr w:rsidR="00A07BA4" w:rsidRPr="00EC2CD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7B7616"/>
    <w:multiLevelType w:val="hybridMultilevel"/>
    <w:tmpl w:val="018A792C"/>
    <w:lvl w:ilvl="0" w:tplc="04090011">
      <w:start w:val="1"/>
      <w:numFmt w:val="decimal"/>
      <w:lvlText w:val="%1)"/>
      <w:lvlJc w:val="left"/>
      <w:pPr>
        <w:ind w:left="880" w:hanging="440"/>
      </w:pPr>
    </w:lvl>
    <w:lvl w:ilvl="1" w:tplc="04090019" w:tentative="1">
      <w:start w:val="1"/>
      <w:numFmt w:val="low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low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lowerLetter"/>
      <w:lvlText w:val="%8)"/>
      <w:lvlJc w:val="left"/>
      <w:pPr>
        <w:ind w:left="3960" w:hanging="440"/>
      </w:pPr>
    </w:lvl>
    <w:lvl w:ilvl="8" w:tplc="0409001B" w:tentative="1">
      <w:start w:val="1"/>
      <w:numFmt w:val="lowerRoman"/>
      <w:lvlText w:val="%9."/>
      <w:lvlJc w:val="right"/>
      <w:pPr>
        <w:ind w:left="4400" w:hanging="440"/>
      </w:pPr>
    </w:lvl>
  </w:abstractNum>
  <w:num w:numId="1" w16cid:durableId="19670077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21B"/>
    <w:rsid w:val="0001227A"/>
    <w:rsid w:val="000C52AB"/>
    <w:rsid w:val="000E3D90"/>
    <w:rsid w:val="001E3A0C"/>
    <w:rsid w:val="0035074E"/>
    <w:rsid w:val="0037615E"/>
    <w:rsid w:val="0066121B"/>
    <w:rsid w:val="009478AC"/>
    <w:rsid w:val="00A07BA4"/>
    <w:rsid w:val="00BC4DAC"/>
    <w:rsid w:val="00DE0FF4"/>
    <w:rsid w:val="00E35389"/>
    <w:rsid w:val="00EC2C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E162F6"/>
  <w15:chartTrackingRefBased/>
  <w15:docId w15:val="{6DA01D89-3F89-40A3-B73A-DDF4B7566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4DAC"/>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6024377">
      <w:bodyDiv w:val="1"/>
      <w:marLeft w:val="0"/>
      <w:marRight w:val="0"/>
      <w:marTop w:val="0"/>
      <w:marBottom w:val="0"/>
      <w:divBdr>
        <w:top w:val="none" w:sz="0" w:space="0" w:color="auto"/>
        <w:left w:val="none" w:sz="0" w:space="0" w:color="auto"/>
        <w:bottom w:val="none" w:sz="0" w:space="0" w:color="auto"/>
        <w:right w:val="none" w:sz="0" w:space="0" w:color="auto"/>
      </w:divBdr>
    </w:div>
    <w:div w:id="1559633388">
      <w:bodyDiv w:val="1"/>
      <w:marLeft w:val="0"/>
      <w:marRight w:val="0"/>
      <w:marTop w:val="0"/>
      <w:marBottom w:val="0"/>
      <w:divBdr>
        <w:top w:val="none" w:sz="0" w:space="0" w:color="auto"/>
        <w:left w:val="none" w:sz="0" w:space="0" w:color="auto"/>
        <w:bottom w:val="none" w:sz="0" w:space="0" w:color="auto"/>
        <w:right w:val="none" w:sz="0" w:space="0" w:color="auto"/>
      </w:divBdr>
    </w:div>
    <w:div w:id="1580211147">
      <w:bodyDiv w:val="1"/>
      <w:marLeft w:val="0"/>
      <w:marRight w:val="0"/>
      <w:marTop w:val="0"/>
      <w:marBottom w:val="0"/>
      <w:divBdr>
        <w:top w:val="none" w:sz="0" w:space="0" w:color="auto"/>
        <w:left w:val="none" w:sz="0" w:space="0" w:color="auto"/>
        <w:bottom w:val="none" w:sz="0" w:space="0" w:color="auto"/>
        <w:right w:val="none" w:sz="0" w:space="0" w:color="auto"/>
      </w:divBdr>
    </w:div>
    <w:div w:id="1933538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293</Words>
  <Characters>1676</Characters>
  <Application>Microsoft Office Word</Application>
  <DocSecurity>0</DocSecurity>
  <Lines>13</Lines>
  <Paragraphs>3</Paragraphs>
  <ScaleCrop>false</ScaleCrop>
  <Company/>
  <LinksUpToDate>false</LinksUpToDate>
  <CharactersWithSpaces>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jie liang</dc:creator>
  <cp:keywords/>
  <dc:description/>
  <cp:lastModifiedBy>jie liang</cp:lastModifiedBy>
  <cp:revision>10</cp:revision>
  <dcterms:created xsi:type="dcterms:W3CDTF">2024-12-22T02:55:00Z</dcterms:created>
  <dcterms:modified xsi:type="dcterms:W3CDTF">2024-12-22T03:48:00Z</dcterms:modified>
</cp:coreProperties>
</file>